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drawing>
          <wp:inline xmlns:a="http://schemas.openxmlformats.org/drawingml/2006/main" xmlns:pic="http://schemas.openxmlformats.org/drawingml/2006/picture">
            <wp:extent cx="2520000" cy="468715"/>
            <wp:docPr id="1" name="Picture 1"/>
            <wp:cNvGraphicFramePr>
              <a:graphicFrameLocks noChangeAspect="1"/>
            </wp:cNvGraphicFramePr>
            <a:graphic>
              <a:graphicData uri="http://schemas.openxmlformats.org/drawingml/2006/picture">
                <pic:pic>
                  <pic:nvPicPr>
                    <pic:cNvPr id="0" name="logo-black-vic.png"/>
                    <pic:cNvPicPr/>
                  </pic:nvPicPr>
                  <pic:blipFill>
                    <a:blip r:embed="rId9"/>
                    <a:stretch>
                      <a:fillRect/>
                    </a:stretch>
                  </pic:blipFill>
                  <pic:spPr>
                    <a:xfrm>
                      <a:off x="0" y="0"/>
                      <a:ext cx="2520000" cy="468715"/>
                    </a:xfrm>
                    <a:prstGeom prst="rect"/>
                  </pic:spPr>
                </pic:pic>
              </a:graphicData>
            </a:graphic>
          </wp:inline>
        </w:drawing>
      </w:r>
    </w:p>
    <w:p/>
    <w:p>
      <w:r>
        <w:rPr>
          <w:b/>
          <w:color w:val="147065"/>
          <w:sz w:val="16"/>
        </w:rPr>
        <w:t>OUR PLATFORM · VICTORIAN DIVISION · POLICY PAPER</w:t>
      </w:r>
    </w:p>
    <w:p>
      <w:pPr>
        <w:pStyle w:val="Title"/>
      </w:pPr>
      <w:r>
        <w:t>Cost of Living (COL) Policy</w:t>
      </w:r>
    </w:p>
    <w:p>
      <w:r>
        <w:rPr>
          <w:color w:val="46514F"/>
          <w:sz w:val="24"/>
        </w:rPr>
        <w:t>An evidence-based approach towards assisting Victorians to deal with the cost of living.</w:t>
      </w:r>
    </w:p>
    <w:p/>
    <w:p>
      <w:hyperlink r:id="rId10">
        <w:r>
          <w:rPr>
            <w:color w:val="147065"/>
            <w:u w:val="single"/>
          </w:rPr>
          <w:t xml:space="preserve">vic.democrats.org.au/policies/cost-of-living</w:t>
        </w:r>
      </w:hyperlink>
    </w:p>
    <w:p>
      <w:r>
        <w:rPr>
          <w:color w:val="46514F"/>
          <w:sz w:val="14"/>
        </w:rPr>
        <w:t>Authorised by A. Castrique, Australian Democrats, 15 Bassett Street, NAIRNE, SA, 5252. Copyright © 2026 Australian Democrats | All rights reserved.</w:t>
      </w:r>
    </w:p>
    <w:p>
      <w:r>
        <w:br w:type="page"/>
      </w:r>
    </w:p>
    <w:p>
      <w:pPr>
        <w:pStyle w:val="Heading1"/>
      </w:pPr>
      <w:r>
        <w:t xml:space="preserve">1. </w:t>
      </w:r>
      <w:r>
        <w:rPr>
          <w:b/>
          <w:i/>
        </w:rPr>
        <w:t>The Issues</w:t>
      </w:r>
      <w:r>
        <w:rPr>
          <w:b/>
          <w:i/>
        </w:rPr>
        <w:t>.</w:t>
      </w:r>
    </w:p>
    <w:p>
      <w:r>
        <w:rPr>
          <w:b w:val="0"/>
          <w:i w:val="0"/>
        </w:rPr>
        <w:t xml:space="preserve">The </w:t>
      </w:r>
      <w:r>
        <w:rPr>
          <w:b w:val="0"/>
          <w:i w:val="0"/>
        </w:rPr>
        <w:t>cost</w:t>
      </w:r>
      <w:r>
        <w:rPr>
          <w:b w:val="0"/>
          <w:i w:val="0"/>
        </w:rPr>
        <w:t>-</w:t>
      </w:r>
      <w:r>
        <w:rPr>
          <w:b w:val="0"/>
          <w:i w:val="0"/>
        </w:rPr>
        <w:t>of</w:t>
      </w:r>
      <w:r>
        <w:rPr>
          <w:b w:val="0"/>
          <w:i w:val="0"/>
        </w:rPr>
        <w:t>-</w:t>
      </w:r>
      <w:r>
        <w:rPr>
          <w:b w:val="0"/>
          <w:i w:val="0"/>
        </w:rPr>
        <w:t xml:space="preserve">living crisis </w:t>
      </w:r>
      <w:r>
        <w:rPr>
          <w:b w:val="0"/>
          <w:i w:val="0"/>
        </w:rPr>
        <w:t xml:space="preserve">is </w:t>
      </w:r>
      <w:r>
        <w:rPr>
          <w:b w:val="0"/>
          <w:i w:val="0"/>
        </w:rPr>
        <w:t xml:space="preserve">impacting </w:t>
      </w:r>
      <w:r>
        <w:rPr>
          <w:b w:val="0"/>
          <w:i w:val="0"/>
        </w:rPr>
        <w:t>all</w:t>
      </w:r>
      <w:r>
        <w:rPr>
          <w:b w:val="0"/>
          <w:i w:val="0"/>
        </w:rPr>
        <w:t xml:space="preserve"> </w:t>
      </w:r>
      <w:r>
        <w:rPr>
          <w:b w:val="0"/>
          <w:i w:val="0"/>
        </w:rPr>
        <w:t>Victorians</w:t>
      </w:r>
      <w:r>
        <w:rPr>
          <w:b/>
          <w:vertAlign w:val="superscript"/>
        </w:rPr>
        <w:t>1</w:t>
      </w:r>
      <w:r>
        <w:rPr>
          <w:b/>
          <w:vertAlign w:val="superscript"/>
        </w:rPr>
        <w:t>2</w:t>
      </w:r>
      <w:r>
        <w:rPr>
          <w:b/>
          <w:vertAlign w:val="superscript"/>
        </w:rPr>
        <w:t>3</w:t>
      </w:r>
      <w:r>
        <w:rPr>
          <w:b w:val="0"/>
          <w:i w:val="0"/>
        </w:rPr>
        <w:t xml:space="preserve">, representing </w:t>
      </w:r>
      <w:r>
        <w:rPr>
          <w:b w:val="0"/>
          <w:i w:val="0"/>
        </w:rPr>
        <w:t xml:space="preserve">a systemic </w:t>
      </w:r>
      <w:r>
        <w:rPr>
          <w:b w:val="0"/>
          <w:i w:val="0"/>
        </w:rPr>
        <w:t xml:space="preserve">issue that </w:t>
      </w:r>
      <w:r>
        <w:rPr>
          <w:b w:val="0"/>
          <w:i w:val="0"/>
        </w:rPr>
        <w:t>has</w:t>
      </w:r>
      <w:r>
        <w:rPr>
          <w:b w:val="0"/>
          <w:i w:val="0"/>
        </w:rPr>
        <w:t xml:space="preserve"> </w:t>
      </w:r>
      <w:r>
        <w:rPr>
          <w:b w:val="0"/>
          <w:i w:val="0"/>
        </w:rPr>
        <w:t xml:space="preserve">gone unaddressed </w:t>
      </w:r>
      <w:r>
        <w:rPr>
          <w:b w:val="0"/>
          <w:i w:val="0"/>
        </w:rPr>
        <w:t>over the preceding</w:t>
      </w:r>
      <w:r>
        <w:rPr>
          <w:b w:val="0"/>
          <w:i w:val="0"/>
        </w:rPr>
        <w:t xml:space="preserve"> </w:t>
      </w:r>
      <w:r>
        <w:rPr>
          <w:b w:val="0"/>
          <w:i w:val="0"/>
        </w:rPr>
        <w:t>decades</w:t>
      </w:r>
      <w:r>
        <w:rPr>
          <w:b/>
          <w:vertAlign w:val="superscript"/>
        </w:rPr>
        <w:t>4</w:t>
      </w:r>
      <w:r>
        <w:rPr>
          <w:b/>
          <w:vertAlign w:val="superscript"/>
        </w:rPr>
        <w:t>5</w:t>
      </w:r>
      <w:r>
        <w:rPr>
          <w:b/>
          <w:vertAlign w:val="superscript"/>
        </w:rPr>
        <w:t>6</w:t>
      </w:r>
      <w:r>
        <w:rPr>
          <w:b w:val="0"/>
          <w:i w:val="0"/>
        </w:rPr>
        <w:t>,</w:t>
      </w:r>
      <w:r>
        <w:rPr>
          <w:b w:val="0"/>
          <w:i w:val="0"/>
        </w:rPr>
        <w:t xml:space="preserve"> and </w:t>
      </w:r>
      <w:r>
        <w:rPr>
          <w:b w:val="0"/>
          <w:i w:val="0"/>
        </w:rPr>
        <w:t xml:space="preserve">recent actions </w:t>
      </w:r>
      <w:r>
        <w:rPr>
          <w:b w:val="0"/>
          <w:i w:val="0"/>
        </w:rPr>
        <w:t xml:space="preserve">by </w:t>
      </w:r>
      <w:r>
        <w:rPr>
          <w:b w:val="0"/>
          <w:i w:val="0"/>
        </w:rPr>
        <w:t>the incumbent Victorian Government</w:t>
      </w:r>
      <w:r>
        <w:rPr>
          <w:b/>
          <w:vertAlign w:val="superscript"/>
        </w:rPr>
        <w:t>7</w:t>
      </w:r>
      <w:r>
        <w:rPr>
          <w:b w:val="0"/>
          <w:i w:val="0"/>
        </w:rPr>
        <w:t xml:space="preserve"> </w:t>
      </w:r>
      <w:r>
        <w:rPr>
          <w:b w:val="0"/>
          <w:i w:val="0"/>
        </w:rPr>
        <w:t xml:space="preserve">have </w:t>
      </w:r>
      <w:r>
        <w:rPr>
          <w:b w:val="0"/>
          <w:i w:val="0"/>
        </w:rPr>
        <w:t xml:space="preserve">not </w:t>
      </w:r>
      <w:r>
        <w:rPr>
          <w:b w:val="0"/>
          <w:i w:val="0"/>
        </w:rPr>
        <w:t xml:space="preserve">provided </w:t>
      </w:r>
      <w:r>
        <w:rPr>
          <w:b w:val="0"/>
          <w:i w:val="0"/>
        </w:rPr>
        <w:t>confidence that enough is being done</w:t>
      </w:r>
      <w:r>
        <w:rPr>
          <w:b w:val="0"/>
          <w:i w:val="0"/>
        </w:rPr>
        <w:t>. R</w:t>
      </w:r>
      <w:r>
        <w:rPr>
          <w:b w:val="0"/>
          <w:i w:val="0"/>
        </w:rPr>
        <w:t xml:space="preserve">ather, </w:t>
      </w:r>
      <w:r>
        <w:rPr>
          <w:b w:val="0"/>
          <w:i w:val="0"/>
        </w:rPr>
        <w:t xml:space="preserve">the cost-of-living crisis is being used as a </w:t>
      </w:r>
      <w:r>
        <w:rPr>
          <w:b w:val="0"/>
          <w:i w:val="0"/>
        </w:rPr>
        <w:t xml:space="preserve">tool for re-election, </w:t>
      </w:r>
      <w:r>
        <w:rPr>
          <w:b w:val="0"/>
          <w:i w:val="0"/>
        </w:rPr>
        <w:t xml:space="preserve">rather than </w:t>
      </w:r>
      <w:r>
        <w:rPr>
          <w:b w:val="0"/>
          <w:i w:val="0"/>
        </w:rPr>
        <w:t>tackling the real issues</w:t>
      </w:r>
      <w:r>
        <w:rPr>
          <w:b/>
          <w:vertAlign w:val="superscript"/>
        </w:rPr>
        <w:t>8</w:t>
      </w:r>
      <w:r>
        <w:rPr>
          <w:b w:val="0"/>
          <w:i w:val="0"/>
        </w:rPr>
        <w:t>.</w:t>
      </w:r>
    </w:p>
    <w:p>
      <w:r>
        <w:rPr>
          <w:b w:val="0"/>
          <w:i w:val="0"/>
        </w:rPr>
        <w:t xml:space="preserve">The Australian Democrats see the problem differently. </w:t>
      </w:r>
      <w:r>
        <w:rPr>
          <w:b w:val="0"/>
          <w:i w:val="0"/>
        </w:rPr>
        <w:t>The plight of Victorians as they endure</w:t>
      </w:r>
      <w:r>
        <w:rPr>
          <w:b w:val="0"/>
          <w:i w:val="0"/>
        </w:rPr>
        <w:t xml:space="preserve"> </w:t>
      </w:r>
      <w:r>
        <w:rPr>
          <w:b w:val="0"/>
          <w:i w:val="0"/>
        </w:rPr>
        <w:t>the cost-of-living</w:t>
      </w:r>
      <w:r>
        <w:rPr>
          <w:b w:val="0"/>
          <w:i w:val="0"/>
        </w:rPr>
        <w:t xml:space="preserve"> pressures should not be used to </w:t>
      </w:r>
      <w:r>
        <w:rPr>
          <w:b w:val="0"/>
          <w:i w:val="0"/>
        </w:rPr>
        <w:t>score political points. Rather, there are problems to be solved</w:t>
      </w:r>
      <w:r>
        <w:rPr>
          <w:b w:val="0"/>
          <w:i w:val="0"/>
        </w:rPr>
        <w:t xml:space="preserve"> that can help ease the cost-of-living challenges </w:t>
      </w:r>
      <w:r>
        <w:rPr>
          <w:b w:val="0"/>
          <w:i w:val="0"/>
        </w:rPr>
        <w:t>Victorians face</w:t>
      </w:r>
      <w:r>
        <w:rPr>
          <w:b w:val="0"/>
          <w:i w:val="0"/>
        </w:rPr>
        <w:t>;</w:t>
      </w:r>
      <w:r>
        <w:rPr>
          <w:b w:val="0"/>
          <w:i w:val="0"/>
        </w:rPr>
        <w:t xml:space="preserve"> however, they require </w:t>
      </w:r>
      <w:r>
        <w:rPr>
          <w:b w:val="0"/>
          <w:i w:val="0"/>
        </w:rPr>
        <w:t xml:space="preserve">insight and the political will to manifest </w:t>
      </w:r>
      <w:r>
        <w:rPr>
          <w:b w:val="0"/>
          <w:i w:val="0"/>
        </w:rPr>
        <w:t>a different reality, rather than the rhetoric we continue to witness.</w:t>
      </w:r>
    </w:p>
    <w:p>
      <w:r>
        <w:rPr>
          <w:b w:val="0"/>
          <w:i w:val="0"/>
        </w:rPr>
        <w:t xml:space="preserve">There is </w:t>
      </w:r>
      <w:r>
        <w:rPr>
          <w:b w:val="0"/>
          <w:i w:val="0"/>
        </w:rPr>
        <w:t xml:space="preserve">no single magic lever we can pull to eradicate the challenges of living </w:t>
      </w:r>
      <w:r>
        <w:rPr>
          <w:b w:val="0"/>
          <w:i w:val="0"/>
        </w:rPr>
        <w:t>day-to-day</w:t>
      </w:r>
      <w:r>
        <w:rPr>
          <w:b w:val="0"/>
          <w:i w:val="0"/>
        </w:rPr>
        <w:t xml:space="preserve"> in Victoria; rather, </w:t>
      </w:r>
      <w:r>
        <w:rPr>
          <w:b w:val="0"/>
          <w:i w:val="0"/>
        </w:rPr>
        <w:t>several</w:t>
      </w:r>
      <w:r>
        <w:rPr>
          <w:b w:val="0"/>
          <w:i w:val="0"/>
        </w:rPr>
        <w:t xml:space="preserve"> elements </w:t>
      </w:r>
      <w:r>
        <w:rPr>
          <w:b w:val="0"/>
          <w:i w:val="0"/>
        </w:rPr>
        <w:t>can ease the burden</w:t>
      </w:r>
      <w:r>
        <w:rPr>
          <w:b w:val="0"/>
          <w:i w:val="0"/>
        </w:rPr>
        <w:t xml:space="preserve">. </w:t>
      </w:r>
      <w:r>
        <w:rPr>
          <w:b w:val="0"/>
          <w:i w:val="0"/>
        </w:rPr>
        <w:t xml:space="preserve">However, </w:t>
      </w:r>
      <w:r>
        <w:rPr>
          <w:b w:val="0"/>
          <w:i w:val="0"/>
        </w:rPr>
        <w:t>several issues</w:t>
      </w:r>
      <w:r>
        <w:rPr>
          <w:b w:val="0"/>
          <w:i w:val="0"/>
        </w:rPr>
        <w:t xml:space="preserve"> remain </w:t>
      </w:r>
      <w:r>
        <w:rPr>
          <w:b w:val="0"/>
          <w:i w:val="0"/>
        </w:rPr>
        <w:t xml:space="preserve">unaddressed, </w:t>
      </w:r>
      <w:r>
        <w:rPr>
          <w:b w:val="0"/>
          <w:i w:val="0"/>
        </w:rPr>
        <w:t>and this policy aims to address them</w:t>
      </w:r>
      <w:r>
        <w:rPr>
          <w:b w:val="0"/>
          <w:i w:val="0"/>
        </w:rPr>
        <w:t xml:space="preserve">. </w:t>
      </w:r>
      <w:r>
        <w:rPr>
          <w:b w:val="0"/>
          <w:i w:val="0"/>
        </w:rPr>
        <w:t xml:space="preserve">Having considered a variety of </w:t>
      </w:r>
      <w:r>
        <w:rPr>
          <w:b w:val="0"/>
          <w:i w:val="0"/>
        </w:rPr>
        <w:t>national economic and societal</w:t>
      </w:r>
      <w:r>
        <w:rPr>
          <w:b w:val="0"/>
          <w:i w:val="0"/>
        </w:rPr>
        <w:t xml:space="preserve"> </w:t>
      </w:r>
      <w:r>
        <w:rPr>
          <w:b w:val="0"/>
          <w:i w:val="0"/>
        </w:rPr>
        <w:t>positions</w:t>
      </w:r>
      <w:r>
        <w:rPr>
          <w:b/>
          <w:vertAlign w:val="superscript"/>
        </w:rPr>
        <w:t>9</w:t>
      </w:r>
      <w:r>
        <w:rPr>
          <w:b/>
          <w:vertAlign w:val="superscript"/>
        </w:rPr>
        <w:t>10</w:t>
      </w:r>
      <w:r>
        <w:rPr>
          <w:b/>
          <w:vertAlign w:val="superscript"/>
        </w:rPr>
        <w:t>11</w:t>
      </w:r>
      <w:r>
        <w:rPr>
          <w:b/>
          <w:vertAlign w:val="superscript"/>
        </w:rPr>
        <w:t>12</w:t>
      </w:r>
      <w:r>
        <w:rPr>
          <w:b/>
          <w:vertAlign w:val="superscript"/>
        </w:rPr>
        <w:t>13</w:t>
      </w:r>
      <w:r>
        <w:rPr>
          <w:b w:val="0"/>
          <w:i w:val="0"/>
        </w:rPr>
        <w:t xml:space="preserve">, alongside </w:t>
      </w:r>
      <w:r>
        <w:rPr>
          <w:b w:val="0"/>
          <w:i w:val="0"/>
        </w:rPr>
        <w:t xml:space="preserve">the felt impacts </w:t>
      </w:r>
      <w:r>
        <w:rPr>
          <w:b w:val="0"/>
          <w:i w:val="0"/>
        </w:rPr>
        <w:t>on</w:t>
      </w:r>
      <w:r>
        <w:rPr>
          <w:b w:val="0"/>
          <w:i w:val="0"/>
        </w:rPr>
        <w:t xml:space="preserve"> </w:t>
      </w:r>
      <w:r>
        <w:rPr>
          <w:b w:val="0"/>
          <w:i w:val="0"/>
        </w:rPr>
        <w:t>Victorian</w:t>
      </w:r>
      <w:r>
        <w:rPr>
          <w:b w:val="0"/>
          <w:i w:val="0"/>
        </w:rPr>
        <w:t>s</w:t>
      </w:r>
      <w:r>
        <w:rPr>
          <w:b/>
          <w:vertAlign w:val="superscript"/>
        </w:rPr>
        <w:t>14</w:t>
      </w:r>
      <w:r>
        <w:rPr>
          <w:b/>
          <w:vertAlign w:val="superscript"/>
        </w:rPr>
        <w:t>15</w:t>
      </w:r>
      <w:r>
        <w:rPr>
          <w:b/>
          <w:vertAlign w:val="superscript"/>
        </w:rPr>
        <w:t>16</w:t>
      </w:r>
      <w:r>
        <w:rPr>
          <w:b/>
          <w:vertAlign w:val="superscript"/>
        </w:rPr>
        <w:t>17</w:t>
      </w:r>
      <w:r>
        <w:rPr>
          <w:b w:val="0"/>
          <w:i w:val="0"/>
        </w:rPr>
        <w:t>,</w:t>
      </w:r>
      <w:r>
        <w:rPr>
          <w:b w:val="0"/>
          <w:i w:val="0"/>
        </w:rPr>
        <w:t xml:space="preserve"> </w:t>
      </w:r>
      <w:r>
        <w:rPr>
          <w:b w:val="0"/>
          <w:i w:val="0"/>
        </w:rPr>
        <w:t xml:space="preserve">our position is that we must </w:t>
      </w:r>
      <w:r>
        <w:rPr>
          <w:b w:val="0"/>
          <w:i w:val="0"/>
        </w:rPr>
        <w:t>address the cost</w:t>
      </w:r>
      <w:r>
        <w:rPr>
          <w:b w:val="0"/>
          <w:i w:val="0"/>
        </w:rPr>
        <w:t>s</w:t>
      </w:r>
      <w:r>
        <w:rPr>
          <w:b w:val="0"/>
          <w:i w:val="0"/>
        </w:rPr>
        <w:t xml:space="preserve"> of </w:t>
      </w:r>
      <w:r>
        <w:rPr>
          <w:b w:val="0"/>
          <w:i w:val="0"/>
        </w:rPr>
        <w:t>Housing, Energy, Food, Transport</w:t>
      </w:r>
      <w:r>
        <w:rPr>
          <w:b w:val="0"/>
          <w:i w:val="0"/>
        </w:rPr>
        <w:t>,</w:t>
      </w:r>
      <w:r>
        <w:rPr>
          <w:b w:val="0"/>
          <w:i w:val="0"/>
        </w:rPr>
        <w:t xml:space="preserve"> and Insurance</w:t>
      </w:r>
      <w:r>
        <w:rPr>
          <w:b w:val="0"/>
          <w:i w:val="0"/>
        </w:rPr>
        <w:t>, as illustrated in Figure 1</w:t>
      </w:r>
      <w:r>
        <w:rPr>
          <w:b w:val="0"/>
          <w:i w:val="0"/>
        </w:rPr>
        <w:t>.</w:t>
      </w:r>
    </w:p>
    <w:p>
      <w:pPr>
        <w:pStyle w:val="ListBullet"/>
      </w:pPr>
      <w:r>
        <w:rPr>
          <w:i/>
        </w:rPr>
        <w:t>Figure 1 — the five policy elements: Housing (Build to Rent), Energy (Honest &amp; Transparent), Insurance (Fair &amp; Accountable), Transport (Affordable &amp; Accessible), Food (Lowering the cost).</w:t>
      </w:r>
    </w:p>
    <w:p>
      <w:r>
        <w:rPr>
          <w:b/>
          <w:color w:val="147065"/>
          <w:sz w:val="16"/>
        </w:rPr>
        <w:t>FIGURE 1:  ELEMENTS OF THE AUSTRALIAN DEMOCRATS' COST OF LIVING POLICY</w:t>
      </w:r>
    </w:p>
    <w:p>
      <w:r>
        <w:rPr>
          <w:b w:val="0"/>
          <w:i w:val="0"/>
        </w:rPr>
        <w:t xml:space="preserve">Each </w:t>
      </w:r>
      <w:r>
        <w:rPr>
          <w:b w:val="0"/>
          <w:i w:val="0"/>
        </w:rPr>
        <w:t>of these five policy elements aims to help ease the cost of living</w:t>
      </w:r>
      <w:r>
        <w:rPr>
          <w:b w:val="0"/>
          <w:i w:val="0"/>
        </w:rPr>
        <w:t xml:space="preserve"> for Victorians.</w:t>
      </w:r>
      <w:r>
        <w:rPr>
          <w:b w:val="0"/>
          <w:i w:val="0"/>
        </w:rPr>
        <w:t xml:space="preserve"> Each of these policies aims to address </w:t>
      </w:r>
      <w:r>
        <w:rPr>
          <w:b w:val="0"/>
          <w:i w:val="0"/>
        </w:rPr>
        <w:t xml:space="preserve">the </w:t>
      </w:r>
      <w:r>
        <w:rPr>
          <w:b w:val="0"/>
          <w:i w:val="0"/>
        </w:rPr>
        <w:t>problems and consequences associated with the felt impacts on</w:t>
      </w:r>
      <w:r>
        <w:rPr>
          <w:b w:val="0"/>
          <w:i w:val="0"/>
        </w:rPr>
        <w:t xml:space="preserve"> Victorians, as</w:t>
      </w:r>
      <w:r>
        <w:rPr>
          <w:b w:val="0"/>
          <w:i w:val="0"/>
        </w:rPr>
        <w:t xml:space="preserve"> detailed in Table 1.</w:t>
      </w:r>
      <w:r>
        <w:rPr>
          <w:b w:val="0"/>
          <w:i w:val="0"/>
        </w:rPr>
        <w:t xml:space="preserve"> </w:t>
      </w:r>
    </w:p>
    <w:p>
      <w:pPr>
        <w:pStyle w:val="ListBullet"/>
      </w:pPr>
      <w:r>
        <w:rPr>
          <w:b/>
          <w:i/>
        </w:rPr>
        <w:t>Housing:</w:t>
      </w:r>
      <w:r>
        <w:rPr>
          <w:b w:val="0"/>
          <w:i w:val="0"/>
        </w:rPr>
        <w:t xml:space="preserve"> </w:t>
      </w:r>
      <w:r>
        <w:rPr>
          <w:b w:val="0"/>
          <w:i w:val="0"/>
        </w:rPr>
        <w:t xml:space="preserve">The Housing aspect of the policy centres </w:t>
      </w:r>
      <w:r>
        <w:rPr>
          <w:b w:val="0"/>
          <w:i w:val="0"/>
        </w:rPr>
        <w:t>on the challenge for renters, namely the insufficient supply, which has led to the escalation of</w:t>
      </w:r>
      <w:r>
        <w:rPr>
          <w:b w:val="0"/>
          <w:i w:val="0"/>
        </w:rPr>
        <w:t xml:space="preserve"> rental </w:t>
      </w:r>
      <w:r>
        <w:rPr>
          <w:b w:val="0"/>
          <w:i w:val="0"/>
        </w:rPr>
        <w:t>costs</w:t>
      </w:r>
      <w:r>
        <w:rPr>
          <w:b w:val="0"/>
          <w:i w:val="0"/>
        </w:rPr>
        <w:t xml:space="preserve">. There </w:t>
      </w:r>
      <w:r>
        <w:rPr>
          <w:b w:val="0"/>
          <w:i w:val="0"/>
        </w:rPr>
        <w:t xml:space="preserve">needs </w:t>
      </w:r>
      <w:r>
        <w:rPr>
          <w:b w:val="0"/>
          <w:i w:val="0"/>
        </w:rPr>
        <w:t>to be more supply in the market, specifically more ‘rental supply’, so renters have access to more rental opportunities</w:t>
      </w:r>
      <w:r>
        <w:rPr>
          <w:b w:val="0"/>
          <w:i w:val="0"/>
        </w:rPr>
        <w:t>,</w:t>
      </w:r>
      <w:r>
        <w:rPr>
          <w:b w:val="0"/>
          <w:i w:val="0"/>
        </w:rPr>
        <w:t xml:space="preserve"> and investors can access </w:t>
      </w:r>
      <w:r>
        <w:rPr>
          <w:b w:val="0"/>
          <w:i w:val="0"/>
        </w:rPr>
        <w:t>sound investments</w:t>
      </w:r>
      <w:r>
        <w:rPr>
          <w:b/>
          <w:vertAlign w:val="superscript"/>
        </w:rPr>
        <w:t>18</w:t>
      </w:r>
      <w:r>
        <w:rPr>
          <w:b/>
          <w:vertAlign w:val="superscript"/>
        </w:rPr>
        <w:t>19</w:t>
      </w:r>
      <w:r>
        <w:rPr>
          <w:b/>
          <w:vertAlign w:val="superscript"/>
        </w:rPr>
        <w:t>20</w:t>
      </w:r>
      <w:r>
        <w:rPr>
          <w:b/>
          <w:vertAlign w:val="superscript"/>
        </w:rPr>
        <w:t>21</w:t>
      </w:r>
      <w:r>
        <w:rPr>
          <w:b w:val="0"/>
          <w:i w:val="0"/>
        </w:rPr>
        <w:t>.</w:t>
      </w:r>
    </w:p>
    <w:p>
      <w:pPr>
        <w:pStyle w:val="ListBullet"/>
      </w:pPr>
      <w:r>
        <w:rPr>
          <w:b/>
          <w:i/>
        </w:rPr>
        <w:t>Energy:</w:t>
      </w:r>
      <w:r>
        <w:rPr>
          <w:b w:val="0"/>
          <w:i w:val="0"/>
        </w:rPr>
        <w:t xml:space="preserve"> Affordable </w:t>
      </w:r>
      <w:r>
        <w:rPr>
          <w:b w:val="0"/>
          <w:i w:val="0"/>
        </w:rPr>
        <w:t>E</w:t>
      </w:r>
      <w:r>
        <w:rPr>
          <w:b w:val="0"/>
          <w:i w:val="0"/>
        </w:rPr>
        <w:t xml:space="preserve">nergy should be made available to all, being an intrinsic right for </w:t>
      </w:r>
      <w:r>
        <w:rPr>
          <w:b w:val="0"/>
          <w:i w:val="0"/>
        </w:rPr>
        <w:t xml:space="preserve">all Victorians. However, the problem of the ‘true cost’ of </w:t>
      </w:r>
      <w:r>
        <w:rPr>
          <w:b w:val="0"/>
          <w:i w:val="0"/>
        </w:rPr>
        <w:t>E</w:t>
      </w:r>
      <w:r>
        <w:rPr>
          <w:b w:val="0"/>
          <w:i w:val="0"/>
        </w:rPr>
        <w:t xml:space="preserve">nergy remains, and Victorians don’t really know the actual cost of </w:t>
      </w:r>
      <w:r>
        <w:rPr>
          <w:b w:val="0"/>
          <w:i w:val="0"/>
        </w:rPr>
        <w:t>E</w:t>
      </w:r>
      <w:r>
        <w:rPr>
          <w:b w:val="0"/>
          <w:i w:val="0"/>
        </w:rPr>
        <w:t>nergy</w:t>
      </w:r>
      <w:r>
        <w:rPr>
          <w:b w:val="0"/>
          <w:i w:val="0"/>
        </w:rPr>
        <w:t xml:space="preserve"> in real time, let alone </w:t>
      </w:r>
      <w:r>
        <w:rPr>
          <w:b w:val="0"/>
          <w:i w:val="0"/>
        </w:rPr>
        <w:t>its</w:t>
      </w:r>
      <w:r>
        <w:rPr>
          <w:b w:val="0"/>
          <w:i w:val="0"/>
        </w:rPr>
        <w:t xml:space="preserve"> composition</w:t>
      </w:r>
      <w:r>
        <w:rPr>
          <w:b/>
          <w:vertAlign w:val="superscript"/>
        </w:rPr>
        <w:t>22</w:t>
      </w:r>
      <w:r>
        <w:rPr>
          <w:b/>
          <w:vertAlign w:val="superscript"/>
        </w:rPr>
        <w:t>23</w:t>
      </w:r>
      <w:r>
        <w:rPr>
          <w:b/>
          <w:vertAlign w:val="superscript"/>
        </w:rPr>
        <w:t>24</w:t>
      </w:r>
      <w:r>
        <w:rPr>
          <w:b w:val="0"/>
          <w:i w:val="0"/>
        </w:rPr>
        <w:t>.</w:t>
      </w:r>
    </w:p>
    <w:p>
      <w:pPr>
        <w:pStyle w:val="ListBullet"/>
      </w:pPr>
      <w:r>
        <w:rPr>
          <w:b/>
          <w:i/>
        </w:rPr>
        <w:t>Insurance:</w:t>
      </w:r>
      <w:r>
        <w:rPr>
          <w:b w:val="0"/>
          <w:i w:val="0"/>
        </w:rPr>
        <w:t xml:space="preserve"> Across all </w:t>
      </w:r>
      <w:r>
        <w:rPr>
          <w:b w:val="0"/>
          <w:i w:val="0"/>
        </w:rPr>
        <w:t>categories, insurance costs are skyrocketing, with insurance companies passing the costs on</w:t>
      </w:r>
      <w:r>
        <w:rPr>
          <w:b w:val="0"/>
          <w:i w:val="0"/>
        </w:rPr>
        <w:t xml:space="preserve"> to customers. As with Energy, </w:t>
      </w:r>
      <w:r>
        <w:rPr>
          <w:b w:val="0"/>
          <w:i w:val="0"/>
        </w:rPr>
        <w:t xml:space="preserve">what is the real cost of insurance, and </w:t>
      </w:r>
      <w:r>
        <w:rPr>
          <w:b w:val="0"/>
          <w:i w:val="0"/>
        </w:rPr>
        <w:t>what is fair and reasonable to pay</w:t>
      </w:r>
      <w:r>
        <w:rPr>
          <w:b w:val="0"/>
          <w:i w:val="0"/>
        </w:rPr>
        <w:t>?</w:t>
      </w:r>
      <w:r>
        <w:rPr>
          <w:b/>
          <w:vertAlign w:val="superscript"/>
        </w:rPr>
        <w:t>25</w:t>
      </w:r>
      <w:r>
        <w:rPr>
          <w:b/>
          <w:vertAlign w:val="superscript"/>
        </w:rPr>
        <w:t>26</w:t>
      </w:r>
      <w:r>
        <w:rPr>
          <w:b/>
          <w:vertAlign w:val="superscript"/>
        </w:rPr>
        <w:t>27</w:t>
      </w:r>
    </w:p>
    <w:p>
      <w:pPr>
        <w:pStyle w:val="ListBullet"/>
      </w:pPr>
      <w:r>
        <w:rPr>
          <w:b/>
          <w:i/>
        </w:rPr>
        <w:t>Transport:</w:t>
      </w:r>
      <w:r>
        <w:rPr>
          <w:b w:val="0"/>
          <w:i w:val="0"/>
        </w:rPr>
        <w:t xml:space="preserve"> </w:t>
      </w:r>
      <w:r>
        <w:rPr>
          <w:b w:val="0"/>
          <w:i w:val="0"/>
        </w:rPr>
        <w:t xml:space="preserve">Given the escalation in </w:t>
      </w:r>
      <w:r>
        <w:rPr>
          <w:b w:val="0"/>
          <w:i w:val="0"/>
        </w:rPr>
        <w:t xml:space="preserve">energy costs, </w:t>
      </w:r>
      <w:r>
        <w:rPr>
          <w:b w:val="0"/>
          <w:i w:val="0"/>
        </w:rPr>
        <w:t>the cost of transport continues to increase and is, for some, prohibitive, undermining</w:t>
      </w:r>
      <w:r>
        <w:rPr>
          <w:b w:val="0"/>
          <w:i w:val="0"/>
        </w:rPr>
        <w:t xml:space="preserve"> </w:t>
      </w:r>
      <w:r>
        <w:rPr>
          <w:b w:val="0"/>
          <w:i w:val="0"/>
        </w:rPr>
        <w:t>their</w:t>
      </w:r>
      <w:r>
        <w:rPr>
          <w:b w:val="0"/>
          <w:i w:val="0"/>
        </w:rPr>
        <w:t xml:space="preserve"> social well-being. In </w:t>
      </w:r>
      <w:r>
        <w:rPr>
          <w:b w:val="0"/>
          <w:i w:val="0"/>
        </w:rPr>
        <w:t>Victoria, there are fixed prices regardless of the time of day, and we advocate that travel concessions don’t go far enough</w:t>
      </w:r>
      <w:r>
        <w:rPr>
          <w:b/>
          <w:vertAlign w:val="superscript"/>
        </w:rPr>
        <w:t>28</w:t>
      </w:r>
      <w:r>
        <w:rPr>
          <w:b/>
          <w:vertAlign w:val="superscript"/>
        </w:rPr>
        <w:t>29</w:t>
      </w:r>
      <w:r>
        <w:rPr>
          <w:b w:val="0"/>
          <w:i w:val="0"/>
        </w:rPr>
        <w:t>. We need transport to be more affordable and accessible.</w:t>
      </w:r>
    </w:p>
    <w:p>
      <w:pPr>
        <w:pStyle w:val="ListBullet"/>
      </w:pPr>
      <w:r>
        <w:rPr>
          <w:b/>
          <w:i/>
        </w:rPr>
        <w:t>Food:</w:t>
      </w:r>
      <w:r>
        <w:rPr>
          <w:b w:val="0"/>
          <w:i w:val="0"/>
        </w:rPr>
        <w:t xml:space="preserve"> </w:t>
      </w:r>
      <w:r>
        <w:rPr>
          <w:b w:val="0"/>
          <w:i w:val="0"/>
        </w:rPr>
        <w:t>Reflecting the escalating cost of production, food growers, processors</w:t>
      </w:r>
      <w:r>
        <w:rPr>
          <w:b w:val="0"/>
          <w:i w:val="0"/>
        </w:rPr>
        <w:t xml:space="preserve">, and distributors are all having to pass on these costs to consumers, given </w:t>
      </w:r>
      <w:r>
        <w:rPr>
          <w:b w:val="0"/>
          <w:i w:val="0"/>
        </w:rPr>
        <w:t xml:space="preserve">that </w:t>
      </w:r>
      <w:r>
        <w:rPr>
          <w:b w:val="0"/>
          <w:i w:val="0"/>
        </w:rPr>
        <w:t xml:space="preserve">they are beyond </w:t>
      </w:r>
      <w:r>
        <w:rPr>
          <w:b w:val="0"/>
          <w:i w:val="0"/>
        </w:rPr>
        <w:t>the levels their firms can absorb</w:t>
      </w:r>
      <w:r>
        <w:rPr>
          <w:b w:val="0"/>
          <w:i w:val="0"/>
        </w:rPr>
        <w:t xml:space="preserve">. Given the </w:t>
      </w:r>
      <w:r>
        <w:rPr>
          <w:b w:val="0"/>
          <w:i w:val="0"/>
        </w:rPr>
        <w:t xml:space="preserve">continuation of the oligopoly in Supermarkets, and until this changes, what is being done to help those along the Supply Chain grapple with these cost pressures that force them </w:t>
      </w:r>
      <w:r>
        <w:rPr>
          <w:b w:val="0"/>
          <w:i w:val="0"/>
        </w:rPr>
        <w:t>to pass the</w:t>
      </w:r>
      <w:r>
        <w:rPr>
          <w:b w:val="0"/>
          <w:i w:val="0"/>
        </w:rPr>
        <w:t xml:space="preserve">m </w:t>
      </w:r>
      <w:r>
        <w:rPr>
          <w:b w:val="0"/>
          <w:i w:val="0"/>
        </w:rPr>
        <w:t>on</w:t>
      </w:r>
      <w:r>
        <w:rPr>
          <w:b w:val="0"/>
          <w:i w:val="0"/>
        </w:rPr>
        <w:t>?</w:t>
      </w:r>
      <w:r>
        <w:rPr>
          <w:b/>
          <w:vertAlign w:val="superscript"/>
        </w:rPr>
        <w:t>30</w:t>
      </w:r>
      <w:r>
        <w:rPr>
          <w:b/>
          <w:vertAlign w:val="superscript"/>
        </w:rPr>
        <w:t>31</w:t>
      </w:r>
      <w:r>
        <w:rPr>
          <w:b/>
          <w:vertAlign w:val="superscript"/>
        </w:rPr>
        <w:t>32</w:t>
      </w:r>
    </w:p>
    <w:p>
      <w:r>
        <w:rPr>
          <w:b/>
          <w:color w:val="147065"/>
          <w:sz w:val="16"/>
        </w:rPr>
        <w:t>TABLE 1: COST OF LIVING – PROBLEMS AND CONSEQUENCES</w:t>
      </w:r>
    </w:p>
    <w:tbl>
      <w:tblPr>
        <w:tblStyle w:val="TableGrid"/>
        <w:tblW w:type="auto" w:w="0"/>
        <w:tblLook w:firstColumn="1" w:firstRow="1" w:lastColumn="0" w:lastRow="0" w:noHBand="0" w:noVBand="1" w:val="04A0"/>
      </w:tblPr>
      <w:tblGrid>
        <w:gridCol w:w="3137"/>
        <w:gridCol w:w="3137"/>
        <w:gridCol w:w="3137"/>
      </w:tblGrid>
      <w:tr>
        <w:tc>
          <w:tcPr>
            <w:tcW w:type="dxa" w:w="3137"/>
          </w:tcPr>
          <w:p>
            <w:r>
              <w:rPr>
                <w:b/>
                <w:i w:val="0"/>
              </w:rPr>
              <w:t>Element</w:t>
            </w:r>
          </w:p>
        </w:tc>
        <w:tc>
          <w:tcPr>
            <w:tcW w:type="dxa" w:w="3137"/>
          </w:tcPr>
          <w:p>
            <w:r>
              <w:rPr>
                <w:b/>
                <w:i w:val="0"/>
              </w:rPr>
              <w:t>Problem</w:t>
            </w:r>
          </w:p>
        </w:tc>
        <w:tc>
          <w:tcPr>
            <w:tcW w:type="dxa" w:w="3137"/>
          </w:tcPr>
          <w:p>
            <w:r>
              <w:rPr>
                <w:b/>
                <w:i w:val="0"/>
              </w:rPr>
              <w:t>Consequence</w:t>
            </w:r>
          </w:p>
        </w:tc>
      </w:tr>
      <w:tr>
        <w:tc>
          <w:tcPr>
            <w:tcW w:type="dxa" w:w="3137"/>
          </w:tcPr>
          <w:p>
            <w:r>
              <w:rPr>
                <w:b/>
                <w:i w:val="0"/>
              </w:rPr>
              <w:t>Housing</w:t>
            </w:r>
            <w:r>
              <w:rPr>
                <w:b/>
                <w:i w:val="0"/>
              </w:rPr>
              <w:t>:</w:t>
            </w:r>
          </w:p>
          <w:p>
            <w:r>
              <w:rPr>
                <w:b w:val="0"/>
                <w:i w:val="0"/>
              </w:rPr>
              <w:t>R</w:t>
            </w:r>
            <w:r>
              <w:rPr>
                <w:b w:val="0"/>
                <w:i w:val="0"/>
              </w:rPr>
              <w:t>ental cost &amp; availability</w:t>
            </w:r>
          </w:p>
        </w:tc>
        <w:tc>
          <w:tcPr>
            <w:tcW w:type="dxa" w:w="3137"/>
          </w:tcPr>
          <w:p>
            <w:r>
              <w:t xml:space="preserve">• </w:t>
            </w:r>
            <w:r>
              <w:rPr>
                <w:b w:val="0"/>
                <w:i w:val="0"/>
              </w:rPr>
              <w:t>Structural housing undersupply and a fragmented rental market reliant on small-scale investors.</w:t>
            </w:r>
          </w:p>
        </w:tc>
        <w:tc>
          <w:tcPr>
            <w:tcW w:type="dxa" w:w="3137"/>
          </w:tcPr>
          <w:p>
            <w:r>
              <w:t xml:space="preserve">• </w:t>
            </w:r>
            <w:r>
              <w:rPr>
                <w:b w:val="0"/>
                <w:i w:val="0"/>
              </w:rPr>
              <w:t>Continued rental stress, rising rents, and reduced housing security, especially for low- and middle-income households.</w:t>
            </w:r>
          </w:p>
        </w:tc>
      </w:tr>
      <w:tr>
        <w:tc>
          <w:tcPr>
            <w:tcW w:type="dxa" w:w="3137"/>
          </w:tcPr>
          <w:p>
            <w:r>
              <w:rPr>
                <w:b/>
                <w:i w:val="0"/>
              </w:rPr>
              <w:t>Energy</w:t>
            </w:r>
            <w:r>
              <w:rPr>
                <w:b/>
                <w:i w:val="0"/>
              </w:rPr>
              <w:t>:</w:t>
            </w:r>
          </w:p>
          <w:p>
            <w:r>
              <w:rPr>
                <w:b w:val="0"/>
                <w:i w:val="0"/>
              </w:rPr>
              <w:t>Rising Cost of Energy</w:t>
            </w:r>
          </w:p>
        </w:tc>
        <w:tc>
          <w:tcPr>
            <w:tcW w:type="dxa" w:w="3137"/>
          </w:tcPr>
          <w:p>
            <w:r>
              <w:t xml:space="preserve">• </w:t>
            </w:r>
            <w:r>
              <w:rPr>
                <w:b w:val="0"/>
                <w:i w:val="0"/>
              </w:rPr>
              <w:t>Complex</w:t>
            </w:r>
            <w:r>
              <w:rPr>
                <w:b w:val="0"/>
                <w:i w:val="0"/>
              </w:rPr>
              <w:t xml:space="preserve">, opaque </w:t>
            </w:r>
            <w:r>
              <w:rPr>
                <w:b w:val="0"/>
                <w:i w:val="0"/>
              </w:rPr>
              <w:t>energy</w:t>
            </w:r>
            <w:r>
              <w:rPr>
                <w:b w:val="0"/>
                <w:i w:val="0"/>
              </w:rPr>
              <w:t xml:space="preserve"> pricing with multiple </w:t>
            </w:r>
            <w:r>
              <w:rPr>
                <w:b w:val="0"/>
                <w:i w:val="0"/>
              </w:rPr>
              <w:t xml:space="preserve">energy and network </w:t>
            </w:r>
            <w:r>
              <w:rPr>
                <w:b w:val="0"/>
                <w:i w:val="0"/>
              </w:rPr>
              <w:t>cost components that are</w:t>
            </w:r>
            <w:r>
              <w:rPr>
                <w:b w:val="0"/>
                <w:i w:val="0"/>
              </w:rPr>
              <w:t xml:space="preserve"> difficult for consumers to understand or compare</w:t>
            </w:r>
            <w:r>
              <w:rPr>
                <w:b w:val="0"/>
                <w:i w:val="0"/>
              </w:rPr>
              <w:t xml:space="preserve">, with programs to incentivise home solar+battery being practically available only to </w:t>
            </w:r>
            <w:r>
              <w:rPr>
                <w:b w:val="0"/>
                <w:i w:val="0"/>
              </w:rPr>
              <w:t>homeowners</w:t>
            </w:r>
            <w:r>
              <w:rPr>
                <w:b w:val="0"/>
                <w:i w:val="0"/>
              </w:rPr>
              <w:t xml:space="preserve"> and those with the spare cash available to invest in these systems.</w:t>
            </w:r>
          </w:p>
        </w:tc>
        <w:tc>
          <w:tcPr>
            <w:tcW w:type="dxa" w:w="3137"/>
          </w:tcPr>
          <w:p>
            <w:r>
              <w:t xml:space="preserve">• </w:t>
            </w:r>
            <w:r>
              <w:rPr>
                <w:b w:val="0"/>
                <w:i w:val="0"/>
              </w:rPr>
              <w:t xml:space="preserve">Renters and lower-income earners </w:t>
            </w:r>
            <w:r>
              <w:rPr>
                <w:b w:val="0"/>
                <w:i w:val="0"/>
              </w:rPr>
              <w:t xml:space="preserve">are </w:t>
            </w:r>
            <w:r>
              <w:rPr>
                <w:b w:val="0"/>
                <w:i w:val="0"/>
              </w:rPr>
              <w:t>practically excluded from renewable subsidies</w:t>
            </w:r>
            <w:r>
              <w:rPr>
                <w:b w:val="0"/>
                <w:i w:val="0"/>
              </w:rPr>
              <w:t>, leading to higher effective costs and disproportionate impacts on vulnerable households</w:t>
            </w:r>
            <w:r>
              <w:rPr>
                <w:b w:val="0"/>
                <w:i w:val="0"/>
              </w:rPr>
              <w:t xml:space="preserve">, undermining trust in </w:t>
            </w:r>
            <w:r>
              <w:rPr>
                <w:b w:val="0"/>
                <w:i w:val="0"/>
              </w:rPr>
              <w:t xml:space="preserve">the </w:t>
            </w:r>
            <w:r>
              <w:rPr>
                <w:b w:val="0"/>
                <w:i w:val="0"/>
              </w:rPr>
              <w:t>government to deliver the energy transition</w:t>
            </w:r>
          </w:p>
        </w:tc>
      </w:tr>
      <w:tr>
        <w:tc>
          <w:tcPr>
            <w:tcW w:type="dxa" w:w="3137"/>
          </w:tcPr>
          <w:p>
            <w:r>
              <w:rPr>
                <w:b/>
                <w:i w:val="0"/>
              </w:rPr>
              <w:t>Insurance</w:t>
            </w:r>
            <w:r>
              <w:rPr>
                <w:b/>
                <w:i w:val="0"/>
              </w:rPr>
              <w:t>:</w:t>
            </w:r>
          </w:p>
          <w:p>
            <w:r>
              <w:rPr>
                <w:b w:val="0"/>
                <w:i w:val="0"/>
              </w:rPr>
              <w:t>Rising cost of Insurance</w:t>
            </w:r>
          </w:p>
        </w:tc>
        <w:tc>
          <w:tcPr>
            <w:tcW w:type="dxa" w:w="3137"/>
          </w:tcPr>
          <w:p>
            <w:r>
              <w:t xml:space="preserve">• </w:t>
            </w:r>
            <w:r>
              <w:rPr>
                <w:b w:val="0"/>
                <w:i w:val="0"/>
              </w:rPr>
              <w:t>Rising insurance premiums driven by cost pressures, market concentration, and limited pricing transparency.</w:t>
            </w:r>
          </w:p>
        </w:tc>
        <w:tc>
          <w:tcPr>
            <w:tcW w:type="dxa" w:w="3137"/>
          </w:tcPr>
          <w:p>
            <w:r>
              <w:t xml:space="preserve">• </w:t>
            </w:r>
            <w:r>
              <w:rPr>
                <w:b w:val="0"/>
                <w:i w:val="0"/>
              </w:rPr>
              <w:t xml:space="preserve">Reduced affordability of essential insurance, increasing </w:t>
            </w:r>
            <w:r>
              <w:rPr>
                <w:b w:val="0"/>
                <w:i w:val="0"/>
              </w:rPr>
              <w:t>households</w:t>
            </w:r>
            <w:r>
              <w:rPr>
                <w:b w:val="0"/>
                <w:i w:val="0"/>
              </w:rPr>
              <w:t>’</w:t>
            </w:r>
            <w:r>
              <w:rPr>
                <w:b w:val="0"/>
                <w:i w:val="0"/>
              </w:rPr>
              <w:t xml:space="preserve"> financial vulnerability and risk exposure.</w:t>
            </w:r>
          </w:p>
        </w:tc>
      </w:tr>
      <w:tr>
        <w:tc>
          <w:tcPr>
            <w:tcW w:type="dxa" w:w="3137"/>
          </w:tcPr>
          <w:p>
            <w:r>
              <w:rPr>
                <w:b/>
                <w:i w:val="0"/>
              </w:rPr>
              <w:t>Transport</w:t>
            </w:r>
            <w:r>
              <w:rPr>
                <w:b/>
                <w:i w:val="0"/>
              </w:rPr>
              <w:t>:</w:t>
            </w:r>
          </w:p>
          <w:p>
            <w:r>
              <w:rPr>
                <w:b w:val="0"/>
                <w:i w:val="0"/>
              </w:rPr>
              <w:t>Access to Transport</w:t>
            </w:r>
          </w:p>
        </w:tc>
        <w:tc>
          <w:tcPr>
            <w:tcW w:type="dxa" w:w="3137"/>
          </w:tcPr>
          <w:p>
            <w:r>
              <w:t xml:space="preserve">• </w:t>
            </w:r>
            <w:r>
              <w:rPr>
                <w:b w:val="0"/>
                <w:i w:val="0"/>
              </w:rPr>
              <w:t xml:space="preserve">The cost of transport is prohibitive </w:t>
            </w:r>
            <w:r>
              <w:rPr>
                <w:b w:val="0"/>
                <w:i w:val="0"/>
              </w:rPr>
              <w:t>for some in the community (students and pensioners) due to</w:t>
            </w:r>
            <w:r>
              <w:rPr>
                <w:b w:val="0"/>
                <w:i w:val="0"/>
              </w:rPr>
              <w:t xml:space="preserve"> fixed pricing </w:t>
            </w:r>
            <w:r>
              <w:rPr>
                <w:b w:val="0"/>
                <w:i w:val="0"/>
              </w:rPr>
              <w:t xml:space="preserve">and geographic </w:t>
            </w:r>
            <w:r>
              <w:rPr>
                <w:b w:val="0"/>
                <w:i w:val="0"/>
              </w:rPr>
              <w:t>constraints</w:t>
            </w:r>
            <w:r>
              <w:rPr>
                <w:b w:val="0"/>
                <w:i w:val="0"/>
              </w:rPr>
              <w:t>.</w:t>
            </w:r>
          </w:p>
        </w:tc>
        <w:tc>
          <w:tcPr>
            <w:tcW w:type="dxa" w:w="3137"/>
          </w:tcPr>
          <w:p>
            <w:r>
              <w:t xml:space="preserve">• </w:t>
            </w:r>
            <w:r>
              <w:rPr>
                <w:b w:val="0"/>
                <w:i w:val="0"/>
              </w:rPr>
              <w:t>Higher ongoing transport costs for households, amplifying cost-of-living pressures and reinforcing geographic inequality.</w:t>
            </w:r>
          </w:p>
        </w:tc>
      </w:tr>
      <w:tr>
        <w:tc>
          <w:tcPr>
            <w:tcW w:type="dxa" w:w="3137"/>
          </w:tcPr>
          <w:p>
            <w:r>
              <w:rPr>
                <w:b/>
                <w:i w:val="0"/>
              </w:rPr>
              <w:t>Food</w:t>
            </w:r>
            <w:r>
              <w:rPr>
                <w:b/>
                <w:i w:val="0"/>
              </w:rPr>
              <w:t>:</w:t>
            </w:r>
          </w:p>
          <w:p>
            <w:r>
              <w:rPr>
                <w:b w:val="0"/>
                <w:i w:val="0"/>
              </w:rPr>
              <w:t>Escalating price increases</w:t>
            </w:r>
          </w:p>
        </w:tc>
        <w:tc>
          <w:tcPr>
            <w:tcW w:type="dxa" w:w="3137"/>
          </w:tcPr>
          <w:p>
            <w:r>
              <w:t xml:space="preserve">• </w:t>
            </w:r>
            <w:r>
              <w:rPr>
                <w:b w:val="0"/>
                <w:i w:val="0"/>
              </w:rPr>
              <w:t xml:space="preserve">Highly concentrated grocery sector and cost-intensive supply chains </w:t>
            </w:r>
            <w:r>
              <w:rPr>
                <w:b w:val="0"/>
                <w:i w:val="0"/>
              </w:rPr>
              <w:t xml:space="preserve">are </w:t>
            </w:r>
            <w:r>
              <w:rPr>
                <w:b w:val="0"/>
                <w:i w:val="0"/>
              </w:rPr>
              <w:t>contributing to sustained food price increases.</w:t>
            </w:r>
          </w:p>
        </w:tc>
        <w:tc>
          <w:tcPr>
            <w:tcW w:type="dxa" w:w="3137"/>
          </w:tcPr>
          <w:p>
            <w:r>
              <w:t xml:space="preserve">• </w:t>
            </w:r>
            <w:r>
              <w:rPr>
                <w:b w:val="0"/>
                <w:i w:val="0"/>
              </w:rPr>
              <w:t>Higher food costs for households and reduced supply resilience, disproportionately affecting low-income groups.</w:t>
            </w:r>
          </w:p>
        </w:tc>
      </w:tr>
    </w:tbl>
    <w:p/>
    <w:p>
      <w:pPr>
        <w:pStyle w:val="Heading1"/>
      </w:pPr>
      <w:r>
        <w:t xml:space="preserve">2. </w:t>
      </w:r>
      <w:r>
        <w:rPr>
          <w:b/>
          <w:i/>
        </w:rPr>
        <w:t>Our Plan</w:t>
      </w:r>
    </w:p>
    <w:p>
      <w:r>
        <w:rPr>
          <w:b w:val="0"/>
          <w:i w:val="0"/>
        </w:rPr>
        <w:t>The Australian Democrats</w:t>
      </w:r>
      <w:r>
        <w:rPr>
          <w:b w:val="0"/>
          <w:i w:val="0"/>
        </w:rPr>
        <w:t xml:space="preserve"> (</w:t>
      </w:r>
      <w:r>
        <w:rPr>
          <w:b w:val="0"/>
          <w:i w:val="0"/>
        </w:rPr>
        <w:t>Victoria branch</w:t>
      </w:r>
      <w:r>
        <w:rPr>
          <w:b w:val="0"/>
          <w:i w:val="0"/>
        </w:rPr>
        <w:t>)</w:t>
      </w:r>
      <w:r>
        <w:rPr>
          <w:b w:val="0"/>
          <w:i w:val="0"/>
        </w:rPr>
        <w:t xml:space="preserve"> </w:t>
      </w:r>
      <w:r>
        <w:rPr>
          <w:b w:val="0"/>
          <w:i w:val="0"/>
        </w:rPr>
        <w:t>advocates introducing new bills in the Legislative Council to tackle the cost of living by</w:t>
      </w:r>
      <w:r>
        <w:rPr>
          <w:b w:val="0"/>
          <w:i w:val="0"/>
        </w:rPr>
        <w:t xml:space="preserve"> implementing </w:t>
      </w:r>
      <w:r>
        <w:rPr>
          <w:b w:val="0"/>
          <w:i w:val="0"/>
        </w:rPr>
        <w:t>detailed policy actions</w:t>
      </w:r>
      <w:r>
        <w:rPr>
          <w:b w:val="0"/>
          <w:i w:val="0"/>
        </w:rPr>
        <w:t>.</w:t>
      </w:r>
    </w:p>
    <w:p>
      <w:pPr>
        <w:pStyle w:val="Heading2"/>
      </w:pPr>
      <w:r>
        <w:rPr>
          <w:b/>
          <w:i/>
        </w:rPr>
        <w:t xml:space="preserve">Housing: </w:t>
      </w:r>
      <w:r>
        <w:rPr>
          <w:b/>
          <w:i/>
        </w:rPr>
        <w:t>Accelerate</w:t>
      </w:r>
      <w:r>
        <w:rPr>
          <w:b/>
          <w:i/>
        </w:rPr>
        <w:t xml:space="preserve"> Build-to-Rent in Victoria</w:t>
      </w:r>
    </w:p>
    <w:p>
      <w:r>
        <w:rPr>
          <w:b w:val="0"/>
          <w:i w:val="0"/>
        </w:rPr>
        <w:t xml:space="preserve">The </w:t>
      </w:r>
      <w:r>
        <w:rPr>
          <w:b w:val="0"/>
          <w:i w:val="0"/>
        </w:rPr>
        <w:t xml:space="preserve">Build-to-Rent (BTR) </w:t>
      </w:r>
      <w:r>
        <w:rPr>
          <w:b w:val="0"/>
          <w:i w:val="0"/>
        </w:rPr>
        <w:t xml:space="preserve">element of </w:t>
      </w:r>
      <w:r>
        <w:rPr>
          <w:b w:val="0"/>
          <w:i w:val="0"/>
        </w:rPr>
        <w:t xml:space="preserve">the broader cost-of-living policy, as detailed in Table 2, is designed to ease pressure on housing supply by making it attractive for investors </w:t>
      </w:r>
      <w:r>
        <w:rPr>
          <w:b w:val="0"/>
          <w:i w:val="0"/>
        </w:rPr>
        <w:t xml:space="preserve">to build in Victoria. This can be assisted by providing mechanisms that </w:t>
      </w:r>
      <w:r>
        <w:rPr>
          <w:b w:val="0"/>
          <w:i w:val="0"/>
        </w:rPr>
        <w:t xml:space="preserve">attract institutional investors seeking </w:t>
      </w:r>
      <w:r>
        <w:rPr>
          <w:b w:val="0"/>
          <w:i w:val="0"/>
        </w:rPr>
        <w:t>guaranteed returns on their investments</w:t>
      </w:r>
      <w:r>
        <w:rPr>
          <w:b w:val="0"/>
          <w:i w:val="0"/>
        </w:rPr>
        <w:t>.</w:t>
      </w:r>
    </w:p>
    <w:p>
      <w:r>
        <w:rPr>
          <w:b/>
          <w:color w:val="147065"/>
          <w:sz w:val="16"/>
        </w:rPr>
        <w:t>TABLE 2: COST OF LIVING – POLICY ACTIONS – BUILD TO RENT</w:t>
      </w:r>
    </w:p>
    <w:tbl>
      <w:tblPr>
        <w:tblStyle w:val="TableGrid"/>
        <w:tblW w:type="auto" w:w="0"/>
        <w:tblLook w:firstColumn="1" w:firstRow="1" w:lastColumn="0" w:lastRow="0" w:noHBand="0" w:noVBand="1" w:val="04A0"/>
      </w:tblPr>
      <w:tblGrid>
        <w:gridCol w:w="3137"/>
        <w:gridCol w:w="3137"/>
        <w:gridCol w:w="3137"/>
      </w:tblGrid>
      <w:tr>
        <w:tc>
          <w:tcPr>
            <w:tcW w:type="dxa" w:w="3137"/>
          </w:tcPr>
          <w:p>
            <w:r>
              <w:rPr>
                <w:b/>
                <w:i w:val="0"/>
              </w:rPr>
              <w:t>Policy Element</w:t>
            </w:r>
          </w:p>
        </w:tc>
        <w:tc>
          <w:tcPr>
            <w:tcW w:type="dxa" w:w="3137"/>
          </w:tcPr>
          <w:p>
            <w:r>
              <w:rPr>
                <w:b/>
                <w:i w:val="0"/>
              </w:rPr>
              <w:t>Action(s)</w:t>
            </w:r>
          </w:p>
        </w:tc>
        <w:tc>
          <w:tcPr>
            <w:tcW w:type="dxa" w:w="3137"/>
          </w:tcPr>
          <w:p>
            <w:r>
              <w:rPr>
                <w:b/>
                <w:i w:val="0"/>
              </w:rPr>
              <w:t>Impact(s)</w:t>
            </w:r>
          </w:p>
        </w:tc>
      </w:tr>
      <w:tr>
        <w:tc>
          <w:tcPr>
            <w:tcW w:type="dxa" w:w="3137"/>
          </w:tcPr>
          <w:p>
            <w:r>
              <w:rPr>
                <w:b/>
                <w:i w:val="0"/>
              </w:rPr>
              <w:t>Housing</w:t>
            </w:r>
            <w:r>
              <w:rPr>
                <w:b/>
                <w:i w:val="0"/>
              </w:rPr>
              <w:t xml:space="preserve">: </w:t>
            </w:r>
          </w:p>
          <w:p>
            <w:r>
              <w:rPr>
                <w:b w:val="0"/>
                <w:i/>
              </w:rPr>
              <w:t xml:space="preserve">Expansion of Build-to-Rent </w:t>
            </w:r>
            <w:r>
              <w:rPr>
                <w:b w:val="0"/>
                <w:i/>
              </w:rPr>
              <w:t xml:space="preserve">(BTR) </w:t>
            </w:r>
            <w:r>
              <w:rPr>
                <w:b w:val="0"/>
                <w:i/>
              </w:rPr>
              <w:t xml:space="preserve">in Victoria </w:t>
            </w:r>
          </w:p>
        </w:tc>
        <w:tc>
          <w:tcPr>
            <w:tcW w:type="dxa" w:w="3137"/>
          </w:tcPr>
          <w:p>
            <w:r>
              <w:t xml:space="preserve">• </w:t>
            </w:r>
            <w:r>
              <w:rPr>
                <w:b w:val="0"/>
                <w:i w:val="0"/>
              </w:rPr>
              <w:t>Up to 100% Land Tax Concession where:</w:t>
            </w:r>
          </w:p>
          <w:p>
            <w:r>
              <w:t xml:space="preserve">• </w:t>
            </w:r>
            <w:r>
              <w:rPr>
                <w:b w:val="0"/>
                <w:i w:val="0"/>
              </w:rPr>
              <w:t>Rents are pegged to CPI</w:t>
            </w:r>
          </w:p>
          <w:p>
            <w:r>
              <w:t xml:space="preserve">• </w:t>
            </w:r>
            <w:r>
              <w:rPr>
                <w:b w:val="0"/>
                <w:i w:val="0"/>
              </w:rPr>
              <w:t>No breaches</w:t>
            </w:r>
            <w:r>
              <w:rPr>
                <w:b w:val="0"/>
                <w:i w:val="0"/>
              </w:rPr>
              <w:t>/ adverse findings</w:t>
            </w:r>
            <w:r>
              <w:rPr>
                <w:b w:val="0"/>
                <w:i w:val="0"/>
              </w:rPr>
              <w:t xml:space="preserve"> as cited by the Building and Plumbing Commission</w:t>
            </w:r>
          </w:p>
          <w:p>
            <w:r>
              <w:t xml:space="preserve">• </w:t>
            </w:r>
            <w:r>
              <w:rPr>
                <w:b w:val="0"/>
                <w:i w:val="0"/>
              </w:rPr>
              <w:t>Meet design, livability and accessibility criteria</w:t>
            </w:r>
          </w:p>
          <w:p>
            <w:r>
              <w:t xml:space="preserve">• </w:t>
            </w:r>
            <w:r>
              <w:rPr>
                <w:b w:val="0"/>
                <w:i w:val="0"/>
              </w:rPr>
              <w:t>Extend Land Tax concession to 40 years</w:t>
            </w:r>
            <w:r>
              <w:rPr>
                <w:b w:val="0"/>
                <w:i w:val="0"/>
              </w:rPr>
              <w:t>.</w:t>
            </w:r>
          </w:p>
          <w:p>
            <w:r>
              <w:t xml:space="preserve">• </w:t>
            </w:r>
            <w:r>
              <w:rPr>
                <w:b w:val="0"/>
                <w:i w:val="0"/>
              </w:rPr>
              <w:t>Reduce dwelling threshold to 25 dwellings</w:t>
            </w:r>
            <w:r>
              <w:rPr>
                <w:b w:val="0"/>
                <w:i w:val="0"/>
              </w:rPr>
              <w:t>.</w:t>
            </w:r>
          </w:p>
          <w:p>
            <w:r>
              <w:t xml:space="preserve">• </w:t>
            </w:r>
            <w:r>
              <w:rPr>
                <w:b w:val="0"/>
                <w:i w:val="0"/>
              </w:rPr>
              <w:t>7 Year minimum leases</w:t>
            </w:r>
            <w:r>
              <w:rPr>
                <w:b w:val="0"/>
                <w:i w:val="0"/>
              </w:rPr>
              <w:t>.</w:t>
            </w:r>
          </w:p>
          <w:p>
            <w:r>
              <w:t xml:space="preserve">• </w:t>
            </w:r>
            <w:r>
              <w:rPr>
                <w:b w:val="0"/>
                <w:i w:val="0"/>
              </w:rPr>
              <w:t>Stamp Duty Deferral – in effect after 3 years.</w:t>
            </w:r>
          </w:p>
          <w:p>
            <w:r>
              <w:t xml:space="preserve">• </w:t>
            </w:r>
            <w:r>
              <w:rPr>
                <w:b w:val="0"/>
                <w:i w:val="0"/>
              </w:rPr>
              <w:t>99 Year leases for the use of Government land</w:t>
            </w:r>
            <w:r>
              <w:rPr>
                <w:b w:val="0"/>
                <w:i w:val="0"/>
              </w:rPr>
              <w:t>.</w:t>
            </w:r>
          </w:p>
          <w:p>
            <w:r>
              <w:t xml:space="preserve">• </w:t>
            </w:r>
            <w:r>
              <w:rPr>
                <w:b w:val="0"/>
                <w:i w:val="0"/>
              </w:rPr>
              <w:t>Fast-Track Planning Approvals for ‘</w:t>
            </w:r>
            <w:r>
              <w:rPr>
                <w:b w:val="0"/>
                <w:i w:val="0"/>
              </w:rPr>
              <w:t>type</w:t>
            </w:r>
            <w:r>
              <w:rPr>
                <w:b w:val="0"/>
                <w:i w:val="0"/>
              </w:rPr>
              <w:t>-approved</w:t>
            </w:r>
            <w:r>
              <w:rPr>
                <w:b w:val="0"/>
                <w:i w:val="0"/>
              </w:rPr>
              <w:t xml:space="preserve"> BTR</w:t>
            </w:r>
            <w:r>
              <w:rPr>
                <w:b w:val="0"/>
                <w:i w:val="0"/>
              </w:rPr>
              <w:t>’</w:t>
            </w:r>
            <w:r>
              <w:rPr>
                <w:b w:val="0"/>
                <w:i w:val="0"/>
              </w:rPr>
              <w:t>.</w:t>
            </w:r>
            <w:r>
              <w:rPr>
                <w:b w:val="0"/>
                <w:i w:val="0"/>
              </w:rPr>
              <w:t xml:space="preserve"> </w:t>
            </w:r>
          </w:p>
        </w:tc>
        <w:tc>
          <w:tcPr>
            <w:tcW w:type="dxa" w:w="3137"/>
          </w:tcPr>
          <w:p>
            <w:r>
              <w:t xml:space="preserve">• </w:t>
            </w:r>
            <w:r>
              <w:rPr>
                <w:b w:val="0"/>
                <w:i w:val="0"/>
              </w:rPr>
              <w:t>Victorians</w:t>
            </w:r>
            <w:r>
              <w:rPr>
                <w:b w:val="0"/>
                <w:i w:val="0"/>
              </w:rPr>
              <w:t xml:space="preserve"> </w:t>
            </w:r>
            <w:r>
              <w:rPr>
                <w:b w:val="0"/>
                <w:i w:val="0"/>
              </w:rPr>
              <w:t>to</w:t>
            </w:r>
            <w:r>
              <w:rPr>
                <w:b w:val="0"/>
                <w:i w:val="0"/>
              </w:rPr>
              <w:t xml:space="preserve"> have access to high-quality, accessible &amp; affordable BTR dwellings</w:t>
            </w:r>
          </w:p>
          <w:p>
            <w:r>
              <w:t xml:space="preserve">• </w:t>
            </w:r>
            <w:r>
              <w:rPr>
                <w:b w:val="0"/>
                <w:i w:val="0"/>
              </w:rPr>
              <w:t>Victoria must be seen as an attractive place to invest and build</w:t>
            </w:r>
            <w:r>
              <w:rPr>
                <w:b w:val="0"/>
                <w:i w:val="0"/>
              </w:rPr>
              <w:t>, targeting institutional investment.</w:t>
            </w:r>
          </w:p>
          <w:p>
            <w:r>
              <w:t xml:space="preserve">• </w:t>
            </w:r>
            <w:r>
              <w:rPr>
                <w:b w:val="0"/>
                <w:i w:val="0"/>
              </w:rPr>
              <w:t>BTR is a gateway to home ownership</w:t>
            </w:r>
            <w:r>
              <w:rPr>
                <w:b w:val="0"/>
                <w:i w:val="0"/>
              </w:rPr>
              <w:t>.</w:t>
            </w:r>
          </w:p>
          <w:p>
            <w:r>
              <w:t xml:space="preserve">• </w:t>
            </w:r>
            <w:r>
              <w:rPr>
                <w:b w:val="0"/>
                <w:i w:val="0"/>
              </w:rPr>
              <w:t xml:space="preserve">BTR </w:t>
            </w:r>
            <w:r>
              <w:rPr>
                <w:b w:val="0"/>
                <w:i w:val="0"/>
              </w:rPr>
              <w:t xml:space="preserve">to </w:t>
            </w:r>
            <w:r>
              <w:rPr>
                <w:b w:val="0"/>
                <w:i w:val="0"/>
              </w:rPr>
              <w:t>help ease the cost of living</w:t>
            </w:r>
            <w:r>
              <w:rPr>
                <w:b w:val="0"/>
                <w:i w:val="0"/>
              </w:rPr>
              <w:t xml:space="preserve"> with cost stability.</w:t>
            </w:r>
          </w:p>
        </w:tc>
      </w:tr>
    </w:tbl>
    <w:p/>
    <w:p>
      <w:r>
        <w:rPr>
          <w:b w:val="0"/>
          <w:i w:val="0"/>
        </w:rPr>
        <w:t xml:space="preserve">With a sound investment platform, builders can build high-quality, accessible, and affordable dwellings that are attractive to Victorians. By targeting the BTR market, this policy can increase supply and </w:t>
      </w:r>
      <w:r>
        <w:rPr>
          <w:b w:val="0"/>
          <w:i w:val="0"/>
        </w:rPr>
        <w:t>create a stable rental environment where Victorians can have peace of mind, knowing</w:t>
      </w:r>
      <w:r>
        <w:rPr>
          <w:b w:val="0"/>
          <w:i w:val="0"/>
        </w:rPr>
        <w:t xml:space="preserve"> they can afford where they live. Critically, we do not advocate for ‘cheap’ or ‘low-cost’ housing, which often becomes a problematic eyesore. Rather, properties that are </w:t>
      </w:r>
      <w:r>
        <w:rPr>
          <w:b w:val="0"/>
          <w:i w:val="0"/>
        </w:rPr>
        <w:t>well-built, high-quality, and offer greater connections to Victoria’s existing and emerging infrastructure.</w:t>
      </w:r>
    </w:p>
    <w:p>
      <w:pPr>
        <w:pStyle w:val="Heading2"/>
      </w:pPr>
      <w:r>
        <w:rPr>
          <w:b/>
          <w:i/>
        </w:rPr>
        <w:t xml:space="preserve">Energy: </w:t>
      </w:r>
      <w:r>
        <w:rPr>
          <w:b/>
          <w:i/>
        </w:rPr>
        <w:t>Transparent  Energy Pricing</w:t>
      </w:r>
    </w:p>
    <w:p>
      <w:r>
        <w:rPr>
          <w:b w:val="0"/>
          <w:i w:val="0"/>
        </w:rPr>
        <w:t xml:space="preserve">Given the unrelenting cost of </w:t>
      </w:r>
      <w:r>
        <w:rPr>
          <w:b w:val="0"/>
          <w:i w:val="0"/>
        </w:rPr>
        <w:t>E</w:t>
      </w:r>
      <w:r>
        <w:rPr>
          <w:b w:val="0"/>
          <w:i w:val="0"/>
        </w:rPr>
        <w:t xml:space="preserve">nergy </w:t>
      </w:r>
      <w:r>
        <w:rPr>
          <w:b w:val="0"/>
          <w:i w:val="0"/>
        </w:rPr>
        <w:t xml:space="preserve">for Victorians, there needs to be a shift from the unknown to transparent, accountable energy pricing that informs consumers and enables them to switch </w:t>
      </w:r>
      <w:r>
        <w:rPr>
          <w:b w:val="0"/>
          <w:i w:val="0"/>
        </w:rPr>
        <w:t>providers if their existing</w:t>
      </w:r>
      <w:r>
        <w:rPr>
          <w:b w:val="0"/>
          <w:i w:val="0"/>
        </w:rPr>
        <w:t xml:space="preserve"> retailer is not competitive.</w:t>
      </w:r>
      <w:r>
        <w:rPr>
          <w:b w:val="0"/>
          <w:i w:val="0"/>
        </w:rPr>
        <w:t xml:space="preserve"> As outlined in Table 3, th</w:t>
      </w:r>
      <w:r>
        <w:rPr>
          <w:b w:val="0"/>
          <w:i w:val="0"/>
        </w:rPr>
        <w:t>is policy element aims</w:t>
      </w:r>
      <w:r>
        <w:rPr>
          <w:b w:val="0"/>
          <w:i w:val="0"/>
        </w:rPr>
        <w:t xml:space="preserve"> to inform </w:t>
      </w:r>
      <w:r>
        <w:rPr>
          <w:b w:val="0"/>
          <w:i w:val="0"/>
        </w:rPr>
        <w:t xml:space="preserve">Victorians and </w:t>
      </w:r>
      <w:r>
        <w:rPr>
          <w:b w:val="0"/>
          <w:i w:val="0"/>
        </w:rPr>
        <w:t>to create a competitive landscape for energy retailers, especially given the emergence of AI, specifically agentic AI, which retailers should consider</w:t>
      </w:r>
      <w:r>
        <w:rPr>
          <w:b w:val="0"/>
          <w:i w:val="0"/>
        </w:rPr>
        <w:t xml:space="preserve"> to realise dynamic price adjustments.</w:t>
      </w:r>
    </w:p>
    <w:p>
      <w:r>
        <w:rPr>
          <w:b/>
          <w:color w:val="147065"/>
          <w:sz w:val="16"/>
        </w:rPr>
        <w:t>TABLE 3: COST OF LIVING – POLICY ACTIONS – TRANSPARENT ENERGY PRICING</w:t>
      </w:r>
    </w:p>
    <w:tbl>
      <w:tblPr>
        <w:tblStyle w:val="TableGrid"/>
        <w:tblW w:type="auto" w:w="0"/>
        <w:tblLook w:firstColumn="1" w:firstRow="1" w:lastColumn="0" w:lastRow="0" w:noHBand="0" w:noVBand="1" w:val="04A0"/>
      </w:tblPr>
      <w:tblGrid>
        <w:gridCol w:w="3137"/>
        <w:gridCol w:w="3137"/>
        <w:gridCol w:w="3137"/>
      </w:tblGrid>
      <w:tr>
        <w:tc>
          <w:tcPr>
            <w:tcW w:type="dxa" w:w="3137"/>
          </w:tcPr>
          <w:p>
            <w:r>
              <w:rPr>
                <w:b/>
                <w:i w:val="0"/>
              </w:rPr>
              <w:t>Policy Element</w:t>
            </w:r>
          </w:p>
        </w:tc>
        <w:tc>
          <w:tcPr>
            <w:tcW w:type="dxa" w:w="3137"/>
          </w:tcPr>
          <w:p>
            <w:r>
              <w:rPr>
                <w:b/>
                <w:i w:val="0"/>
              </w:rPr>
              <w:t>Action(s)</w:t>
            </w:r>
          </w:p>
        </w:tc>
        <w:tc>
          <w:tcPr>
            <w:tcW w:type="dxa" w:w="3137"/>
          </w:tcPr>
          <w:p>
            <w:r>
              <w:rPr>
                <w:b/>
                <w:i w:val="0"/>
              </w:rPr>
              <w:t>Impact(s)</w:t>
            </w:r>
          </w:p>
        </w:tc>
      </w:tr>
      <w:tr>
        <w:tc>
          <w:tcPr>
            <w:tcW w:type="dxa" w:w="3137"/>
          </w:tcPr>
          <w:p>
            <w:r>
              <w:rPr>
                <w:b/>
                <w:i w:val="0"/>
              </w:rPr>
              <w:t>Energy</w:t>
            </w:r>
            <w:r>
              <w:rPr>
                <w:b/>
                <w:i w:val="0"/>
              </w:rPr>
              <w:t>:</w:t>
            </w:r>
          </w:p>
          <w:p>
            <w:r>
              <w:rPr>
                <w:b w:val="0"/>
                <w:i w:val="0"/>
              </w:rPr>
              <w:t>Rising Cost of Energy</w:t>
            </w:r>
          </w:p>
        </w:tc>
        <w:tc>
          <w:tcPr>
            <w:tcW w:type="dxa" w:w="3137"/>
          </w:tcPr>
          <w:p>
            <w:r>
              <w:t xml:space="preserve">• </w:t>
            </w:r>
            <w:r>
              <w:rPr>
                <w:b w:val="0"/>
                <w:i w:val="0"/>
              </w:rPr>
              <w:t>Standardise bill breakdowns</w:t>
            </w:r>
            <w:r>
              <w:rPr>
                <w:b w:val="0"/>
                <w:i w:val="0"/>
              </w:rPr>
              <w:t xml:space="preserve"> that show:</w:t>
            </w:r>
          </w:p>
          <w:p>
            <w:r>
              <w:t xml:space="preserve">• </w:t>
            </w:r>
            <w:r>
              <w:rPr>
                <w:b w:val="0"/>
                <w:i w:val="0"/>
              </w:rPr>
              <w:t>Wholesale energy cost</w:t>
            </w:r>
          </w:p>
          <w:p>
            <w:r>
              <w:t xml:space="preserve">• </w:t>
            </w:r>
            <w:r>
              <w:rPr>
                <w:b w:val="0"/>
                <w:i w:val="0"/>
              </w:rPr>
              <w:t>Network Charges</w:t>
            </w:r>
          </w:p>
          <w:p>
            <w:r>
              <w:t xml:space="preserve">• </w:t>
            </w:r>
            <w:r>
              <w:rPr>
                <w:b w:val="0"/>
                <w:i w:val="0"/>
              </w:rPr>
              <w:t>Environmental Cost</w:t>
            </w:r>
          </w:p>
          <w:p>
            <w:r>
              <w:t xml:space="preserve">• </w:t>
            </w:r>
            <w:r>
              <w:rPr>
                <w:b w:val="0"/>
                <w:i w:val="0"/>
              </w:rPr>
              <w:t>Retail Margin</w:t>
            </w:r>
          </w:p>
          <w:p>
            <w:r>
              <w:t xml:space="preserve">• </w:t>
            </w:r>
            <w:r>
              <w:rPr>
                <w:b w:val="0"/>
                <w:i w:val="0"/>
              </w:rPr>
              <w:t xml:space="preserve">Bring AusNet back under government ownership to ensure transmission planning and development </w:t>
            </w:r>
            <w:r>
              <w:rPr>
                <w:b w:val="0"/>
                <w:i w:val="0"/>
              </w:rPr>
              <w:t>benefit</w:t>
            </w:r>
            <w:r>
              <w:rPr>
                <w:b w:val="0"/>
                <w:i w:val="0"/>
              </w:rPr>
              <w:t xml:space="preserve"> </w:t>
            </w:r>
            <w:r>
              <w:rPr>
                <w:b w:val="0"/>
                <w:i w:val="0"/>
              </w:rPr>
              <w:t xml:space="preserve">the public and </w:t>
            </w:r>
            <w:r>
              <w:rPr>
                <w:b w:val="0"/>
                <w:i w:val="0"/>
              </w:rPr>
              <w:t>ensure</w:t>
            </w:r>
            <w:r>
              <w:rPr>
                <w:b w:val="0"/>
                <w:i w:val="0"/>
              </w:rPr>
              <w:t xml:space="preserve"> </w:t>
            </w:r>
            <w:r>
              <w:rPr>
                <w:b w:val="0"/>
                <w:i w:val="0"/>
              </w:rPr>
              <w:t>an orderly transition as coal exits</w:t>
            </w:r>
          </w:p>
          <w:p>
            <w:r>
              <w:t xml:space="preserve">• </w:t>
            </w:r>
            <w:r>
              <w:rPr>
                <w:b w:val="0"/>
                <w:i w:val="0"/>
              </w:rPr>
              <w:t xml:space="preserve">Energy </w:t>
            </w:r>
            <w:r>
              <w:rPr>
                <w:b w:val="0"/>
                <w:i w:val="0"/>
              </w:rPr>
              <w:t>Retailers to</w:t>
            </w:r>
            <w:r>
              <w:rPr>
                <w:b w:val="0"/>
                <w:i w:val="0"/>
              </w:rPr>
              <w:t>:</w:t>
            </w:r>
          </w:p>
          <w:p>
            <w:r>
              <w:t xml:space="preserve">• </w:t>
            </w:r>
            <w:r>
              <w:rPr>
                <w:b w:val="0"/>
                <w:i w:val="0"/>
              </w:rPr>
              <w:t>Publish near-real-time wholesale cost indicators</w:t>
            </w:r>
          </w:p>
          <w:p>
            <w:r>
              <w:t xml:space="preserve">• </w:t>
            </w:r>
            <w:r>
              <w:rPr>
                <w:b w:val="0"/>
                <w:i w:val="0"/>
              </w:rPr>
              <w:t>Provide live pricing dashboards</w:t>
            </w:r>
          </w:p>
          <w:p>
            <w:r>
              <w:t xml:space="preserve">• </w:t>
            </w:r>
            <w:r>
              <w:rPr>
                <w:b w:val="0"/>
                <w:i w:val="0"/>
              </w:rPr>
              <w:t>Dynamic energy pricing adjustments</w:t>
            </w:r>
            <w:r>
              <w:rPr>
                <w:b w:val="0"/>
                <w:i w:val="0"/>
              </w:rPr>
              <w:t>:</w:t>
            </w:r>
          </w:p>
          <w:p>
            <w:r>
              <w:t xml:space="preserve">• </w:t>
            </w:r>
            <w:r>
              <w:rPr>
                <w:b w:val="0"/>
                <w:i w:val="0"/>
              </w:rPr>
              <w:t>Quarterly</w:t>
            </w:r>
            <w:r>
              <w:rPr>
                <w:b w:val="0"/>
                <w:i w:val="0"/>
              </w:rPr>
              <w:t xml:space="preserve"> updates (instead of annual)</w:t>
            </w:r>
          </w:p>
          <w:p>
            <w:r>
              <w:t xml:space="preserve">• </w:t>
            </w:r>
            <w:r>
              <w:rPr>
                <w:b w:val="0"/>
                <w:i w:val="0"/>
              </w:rPr>
              <w:t>Trigger mechanism when wholesale price</w:t>
            </w:r>
            <w:r>
              <w:rPr>
                <w:b w:val="0"/>
                <w:i w:val="0"/>
              </w:rPr>
              <w:t xml:space="preserve">s shift significantly, e.g., by </w:t>
            </w:r>
            <w:r>
              <w:rPr>
                <w:b w:val="0"/>
                <w:i w:val="0"/>
              </w:rPr>
              <w:t>&gt; 10%.</w:t>
            </w:r>
          </w:p>
        </w:tc>
        <w:tc>
          <w:tcPr>
            <w:tcW w:type="dxa" w:w="3137"/>
          </w:tcPr>
          <w:p>
            <w:r>
              <w:t xml:space="preserve">• </w:t>
            </w:r>
            <w:r>
              <w:rPr>
                <w:b w:val="0"/>
                <w:i w:val="0"/>
              </w:rPr>
              <w:t>Improve transparency and trust.</w:t>
            </w:r>
          </w:p>
          <w:p>
            <w:r>
              <w:t xml:space="preserve">• </w:t>
            </w:r>
            <w:r>
              <w:rPr>
                <w:b w:val="0"/>
                <w:i w:val="0"/>
              </w:rPr>
              <w:t>Strengthen competition in the energy market</w:t>
            </w:r>
            <w:r>
              <w:rPr>
                <w:b w:val="0"/>
                <w:i w:val="0"/>
              </w:rPr>
              <w:t xml:space="preserve"> (reward customer-centricity).</w:t>
            </w:r>
          </w:p>
          <w:p>
            <w:r>
              <w:t xml:space="preserve">• </w:t>
            </w:r>
            <w:r>
              <w:rPr>
                <w:b w:val="0"/>
                <w:i w:val="0"/>
              </w:rPr>
              <w:t>Enable better consumer decision-making.</w:t>
            </w:r>
          </w:p>
          <w:p>
            <w:r>
              <w:t xml:space="preserve">• </w:t>
            </w:r>
            <w:r>
              <w:rPr>
                <w:b w:val="0"/>
                <w:i w:val="0"/>
              </w:rPr>
              <w:t>Apply Downward pressure on prices over time, due to market forces.</w:t>
            </w:r>
          </w:p>
        </w:tc>
      </w:tr>
    </w:tbl>
    <w:p/>
    <w:p>
      <w:r>
        <w:rPr>
          <w:b w:val="0"/>
          <w:i w:val="0"/>
        </w:rPr>
        <w:t xml:space="preserve">Given the real-world impacts of </w:t>
      </w:r>
      <w:r>
        <w:rPr>
          <w:b w:val="0"/>
          <w:i w:val="0"/>
        </w:rPr>
        <w:t>E</w:t>
      </w:r>
      <w:r>
        <w:rPr>
          <w:b w:val="0"/>
          <w:i w:val="0"/>
        </w:rPr>
        <w:t xml:space="preserve">nergy, an </w:t>
      </w:r>
      <w:r>
        <w:rPr>
          <w:b w:val="0"/>
          <w:i w:val="0"/>
        </w:rPr>
        <w:t>evidence-based</w:t>
      </w:r>
      <w:r>
        <w:rPr>
          <w:b w:val="0"/>
          <w:i w:val="0"/>
        </w:rPr>
        <w:t xml:space="preserve"> approach is needed </w:t>
      </w:r>
      <w:r>
        <w:rPr>
          <w:b w:val="0"/>
          <w:i w:val="0"/>
        </w:rPr>
        <w:t>drives</w:t>
      </w:r>
      <w:r>
        <w:rPr>
          <w:b w:val="0"/>
          <w:i w:val="0"/>
        </w:rPr>
        <w:t xml:space="preserve"> market competition</w:t>
      </w:r>
      <w:r>
        <w:rPr>
          <w:b w:val="0"/>
          <w:i w:val="0"/>
        </w:rPr>
        <w:t xml:space="preserve">. The aim is to have an energy market that </w:t>
      </w:r>
      <w:r>
        <w:rPr>
          <w:b w:val="0"/>
          <w:i w:val="0"/>
        </w:rPr>
        <w:t>responds to pricing and dynamically offers it to Victorians, so Victorians do not pay above-market rates</w:t>
      </w:r>
      <w:r>
        <w:rPr>
          <w:b w:val="0"/>
          <w:i w:val="0"/>
        </w:rPr>
        <w:t xml:space="preserve"> for an extended period.</w:t>
      </w:r>
    </w:p>
    <w:p>
      <w:pPr>
        <w:pStyle w:val="Heading2"/>
      </w:pPr>
      <w:r>
        <w:rPr>
          <w:b/>
          <w:i/>
        </w:rPr>
        <w:t xml:space="preserve">Insurance: </w:t>
      </w:r>
      <w:r>
        <w:rPr>
          <w:b/>
          <w:i/>
        </w:rPr>
        <w:t>Transparent</w:t>
      </w:r>
      <w:r>
        <w:rPr>
          <w:b/>
          <w:i/>
        </w:rPr>
        <w:t xml:space="preserve"> &amp; Competitive</w:t>
      </w:r>
      <w:r>
        <w:rPr>
          <w:b/>
          <w:i/>
        </w:rPr>
        <w:t xml:space="preserve"> </w:t>
      </w:r>
      <w:r>
        <w:rPr>
          <w:b/>
          <w:i/>
        </w:rPr>
        <w:t xml:space="preserve">Insurance </w:t>
      </w:r>
      <w:r>
        <w:rPr>
          <w:b/>
          <w:i/>
        </w:rPr>
        <w:t>Pricing</w:t>
      </w:r>
    </w:p>
    <w:p>
      <w:r>
        <w:rPr>
          <w:b w:val="0"/>
          <w:i w:val="0"/>
        </w:rPr>
        <w:t xml:space="preserve">Given the unrelenting cost of </w:t>
      </w:r>
      <w:r>
        <w:rPr>
          <w:b w:val="0"/>
          <w:i w:val="0"/>
        </w:rPr>
        <w:t>E</w:t>
      </w:r>
      <w:r>
        <w:rPr>
          <w:b w:val="0"/>
          <w:i w:val="0"/>
        </w:rPr>
        <w:t xml:space="preserve">nergy </w:t>
      </w:r>
      <w:r>
        <w:rPr>
          <w:b w:val="0"/>
          <w:i w:val="0"/>
        </w:rPr>
        <w:t xml:space="preserve">for Victorians, there needs to be a shift from the unknown </w:t>
      </w:r>
      <w:r>
        <w:rPr>
          <w:b w:val="0"/>
          <w:i w:val="0"/>
        </w:rPr>
        <w:t xml:space="preserve">cost of insurance to </w:t>
      </w:r>
      <w:r>
        <w:rPr>
          <w:b w:val="0"/>
          <w:i w:val="0"/>
        </w:rPr>
        <w:t xml:space="preserve">a scenario where Victorians are </w:t>
      </w:r>
      <w:r>
        <w:rPr>
          <w:b w:val="0"/>
          <w:i w:val="0"/>
        </w:rPr>
        <w:t>reliably informed, with market pressure to provide insights to consumers as to the real cost of premiums, as well as making clear what they are doing to drive costs down, as outlined in Table 4.</w:t>
      </w:r>
    </w:p>
    <w:p>
      <w:r>
        <w:rPr>
          <w:b/>
          <w:color w:val="147065"/>
          <w:sz w:val="16"/>
        </w:rPr>
        <w:t>TABLE 4: COST OF LIVING – POLICY ACTIONS – TRANSPARENT &amp; COMPETITIVE INSURANCE PRICING</w:t>
      </w:r>
    </w:p>
    <w:tbl>
      <w:tblPr>
        <w:tblStyle w:val="TableGrid"/>
        <w:tblW w:type="auto" w:w="0"/>
        <w:tblLook w:firstColumn="1" w:firstRow="1" w:lastColumn="0" w:lastRow="0" w:noHBand="0" w:noVBand="1" w:val="04A0"/>
      </w:tblPr>
      <w:tblGrid>
        <w:gridCol w:w="3137"/>
        <w:gridCol w:w="3137"/>
        <w:gridCol w:w="3137"/>
      </w:tblGrid>
      <w:tr>
        <w:tc>
          <w:tcPr>
            <w:tcW w:type="dxa" w:w="3137"/>
          </w:tcPr>
          <w:p>
            <w:r>
              <w:rPr>
                <w:b/>
                <w:i w:val="0"/>
              </w:rPr>
              <w:t>Policy Element</w:t>
            </w:r>
          </w:p>
        </w:tc>
        <w:tc>
          <w:tcPr>
            <w:tcW w:type="dxa" w:w="3137"/>
          </w:tcPr>
          <w:p>
            <w:r>
              <w:rPr>
                <w:b/>
                <w:i w:val="0"/>
              </w:rPr>
              <w:t>Action(s)</w:t>
            </w:r>
          </w:p>
        </w:tc>
        <w:tc>
          <w:tcPr>
            <w:tcW w:type="dxa" w:w="3137"/>
          </w:tcPr>
          <w:p>
            <w:r>
              <w:rPr>
                <w:b/>
                <w:i w:val="0"/>
              </w:rPr>
              <w:t>Impact(s)</w:t>
            </w:r>
          </w:p>
        </w:tc>
      </w:tr>
      <w:tr>
        <w:tc>
          <w:tcPr>
            <w:tcW w:type="dxa" w:w="3137"/>
          </w:tcPr>
          <w:p>
            <w:r>
              <w:rPr>
                <w:b/>
                <w:i w:val="0"/>
              </w:rPr>
              <w:t>Insurance</w:t>
            </w:r>
            <w:r>
              <w:rPr>
                <w:b/>
                <w:i w:val="0"/>
              </w:rPr>
              <w:t>:</w:t>
            </w:r>
          </w:p>
          <w:p>
            <w:r>
              <w:rPr>
                <w:b w:val="0"/>
                <w:i w:val="0"/>
              </w:rPr>
              <w:t>Rising cost of Insurance</w:t>
            </w:r>
          </w:p>
        </w:tc>
        <w:tc>
          <w:tcPr>
            <w:tcW w:type="dxa" w:w="3137"/>
          </w:tcPr>
          <w:p>
            <w:r>
              <w:t xml:space="preserve">• </w:t>
            </w:r>
            <w:r>
              <w:rPr>
                <w:b w:val="0"/>
                <w:i w:val="0"/>
              </w:rPr>
              <w:t>Standardise bill breakdowns</w:t>
            </w:r>
            <w:r>
              <w:rPr>
                <w:b w:val="0"/>
                <w:i w:val="0"/>
              </w:rPr>
              <w:t xml:space="preserve"> across all insurers</w:t>
            </w:r>
            <w:r>
              <w:rPr>
                <w:b w:val="0"/>
                <w:i w:val="0"/>
              </w:rPr>
              <w:t xml:space="preserve"> that show:</w:t>
            </w:r>
          </w:p>
          <w:p>
            <w:r>
              <w:t xml:space="preserve">• </w:t>
            </w:r>
            <w:r>
              <w:rPr>
                <w:b w:val="0"/>
                <w:i w:val="0"/>
              </w:rPr>
              <w:t>Claims cost (including disasters &amp; risk)</w:t>
            </w:r>
          </w:p>
          <w:p>
            <w:r>
              <w:t xml:space="preserve">• </w:t>
            </w:r>
            <w:r>
              <w:rPr>
                <w:b w:val="0"/>
                <w:i w:val="0"/>
              </w:rPr>
              <w:t>Reinsurance cost</w:t>
            </w:r>
          </w:p>
          <w:p>
            <w:r>
              <w:t xml:space="preserve">• </w:t>
            </w:r>
            <w:r>
              <w:rPr>
                <w:b w:val="0"/>
                <w:i w:val="0"/>
              </w:rPr>
              <w:t>Administrative</w:t>
            </w:r>
            <w:r>
              <w:rPr>
                <w:b w:val="0"/>
                <w:i w:val="0"/>
              </w:rPr>
              <w:t xml:space="preserve"> Costs</w:t>
            </w:r>
          </w:p>
          <w:p>
            <w:r>
              <w:t xml:space="preserve">• </w:t>
            </w:r>
            <w:r>
              <w:rPr>
                <w:b w:val="0"/>
                <w:i w:val="0"/>
              </w:rPr>
              <w:t>Pro</w:t>
            </w:r>
            <w:r>
              <w:rPr>
                <w:b w:val="0"/>
                <w:i w:val="0"/>
              </w:rPr>
              <w:t>fit/ Margin</w:t>
            </w:r>
          </w:p>
          <w:p>
            <w:r>
              <w:t xml:space="preserve">• </w:t>
            </w:r>
            <w:r>
              <w:rPr>
                <w:b w:val="0"/>
                <w:i w:val="0"/>
              </w:rPr>
              <w:t xml:space="preserve">Insurance firms </w:t>
            </w:r>
            <w:r>
              <w:rPr>
                <w:b w:val="0"/>
                <w:i w:val="0"/>
              </w:rPr>
              <w:t>must</w:t>
            </w:r>
            <w:r>
              <w:rPr>
                <w:b w:val="0"/>
                <w:i w:val="0"/>
              </w:rPr>
              <w:t xml:space="preserve"> </w:t>
            </w:r>
            <w:r>
              <w:rPr>
                <w:b w:val="0"/>
                <w:i w:val="0"/>
              </w:rPr>
              <w:t>explain</w:t>
            </w:r>
            <w:r>
              <w:rPr>
                <w:b w:val="0"/>
                <w:i w:val="0"/>
              </w:rPr>
              <w:t xml:space="preserve"> </w:t>
            </w:r>
            <w:r>
              <w:rPr>
                <w:b w:val="0"/>
                <w:i w:val="0"/>
              </w:rPr>
              <w:t xml:space="preserve">when </w:t>
            </w:r>
            <w:r>
              <w:rPr>
                <w:b w:val="0"/>
                <w:i w:val="0"/>
              </w:rPr>
              <w:t>premiums</w:t>
            </w:r>
            <w:r>
              <w:rPr>
                <w:b w:val="0"/>
                <w:i w:val="0"/>
              </w:rPr>
              <w:t xml:space="preserve"> rise above a threshold, e.g., &gt; 10%, </w:t>
            </w:r>
            <w:r>
              <w:rPr>
                <w:b w:val="0"/>
                <w:i w:val="0"/>
              </w:rPr>
              <w:t>insurers</w:t>
            </w:r>
            <w:r>
              <w:rPr>
                <w:b w:val="0"/>
                <w:i w:val="0"/>
              </w:rPr>
              <w:t xml:space="preserve"> must</w:t>
            </w:r>
            <w:r>
              <w:rPr>
                <w:b w:val="0"/>
                <w:i w:val="0"/>
              </w:rPr>
              <w:t xml:space="preserve"> provide:</w:t>
            </w:r>
          </w:p>
          <w:p>
            <w:r>
              <w:t xml:space="preserve">• </w:t>
            </w:r>
            <w:r>
              <w:rPr>
                <w:b w:val="0"/>
                <w:i w:val="0"/>
              </w:rPr>
              <w:t>A plain English justification</w:t>
            </w:r>
          </w:p>
          <w:p>
            <w:r>
              <w:t xml:space="preserve">• </w:t>
            </w:r>
            <w:r>
              <w:rPr>
                <w:b w:val="0"/>
                <w:i w:val="0"/>
              </w:rPr>
              <w:t>Outline what they are doing to stabilise</w:t>
            </w:r>
            <w:r>
              <w:rPr>
                <w:b w:val="0"/>
                <w:i w:val="0"/>
              </w:rPr>
              <w:t xml:space="preserve"> and/or reduc</w:t>
            </w:r>
            <w:r>
              <w:rPr>
                <w:b w:val="0"/>
                <w:i w:val="0"/>
              </w:rPr>
              <w:t>e premiums in the future</w:t>
            </w:r>
          </w:p>
          <w:p>
            <w:r>
              <w:t xml:space="preserve">• </w:t>
            </w:r>
            <w:r>
              <w:rPr>
                <w:b w:val="0"/>
                <w:i w:val="0"/>
              </w:rPr>
              <w:t>Outline the risk trends</w:t>
            </w:r>
            <w:r>
              <w:rPr>
                <w:b w:val="0"/>
                <w:i w:val="0"/>
              </w:rPr>
              <w:t xml:space="preserve"> and their mitigations.</w:t>
            </w:r>
          </w:p>
          <w:p>
            <w:r>
              <w:t xml:space="preserve">• </w:t>
            </w:r>
            <w:r>
              <w:rPr>
                <w:b w:val="0"/>
                <w:i w:val="0"/>
              </w:rPr>
              <w:t xml:space="preserve">Offer mutual and </w:t>
            </w:r>
            <w:r>
              <w:rPr>
                <w:b w:val="0"/>
                <w:i w:val="0"/>
              </w:rPr>
              <w:t>not-for-profit</w:t>
            </w:r>
            <w:r>
              <w:rPr>
                <w:b w:val="0"/>
                <w:i w:val="0"/>
              </w:rPr>
              <w:t xml:space="preserve"> insurers </w:t>
            </w:r>
            <w:r>
              <w:rPr>
                <w:b w:val="0"/>
                <w:i w:val="0"/>
              </w:rPr>
              <w:t>incentives</w:t>
            </w:r>
            <w:r>
              <w:rPr>
                <w:b w:val="0"/>
                <w:i w:val="0"/>
              </w:rPr>
              <w:t xml:space="preserve"> to </w:t>
            </w:r>
            <w:r>
              <w:rPr>
                <w:b w:val="0"/>
                <w:i w:val="0"/>
              </w:rPr>
              <w:t xml:space="preserve">have below-market </w:t>
            </w:r>
            <w:r>
              <w:rPr>
                <w:b w:val="0"/>
                <w:i w:val="0"/>
              </w:rPr>
              <w:t>insurance premiums through</w:t>
            </w:r>
            <w:r>
              <w:rPr>
                <w:b w:val="0"/>
                <w:i w:val="0"/>
              </w:rPr>
              <w:t>:</w:t>
            </w:r>
          </w:p>
          <w:p>
            <w:r>
              <w:t xml:space="preserve">• </w:t>
            </w:r>
            <w:r>
              <w:rPr>
                <w:b w:val="0"/>
                <w:i w:val="0"/>
              </w:rPr>
              <w:t xml:space="preserve">Payroll Tax: </w:t>
            </w:r>
            <w:r>
              <w:rPr>
                <w:b w:val="0"/>
                <w:i w:val="0"/>
              </w:rPr>
              <w:t>Reduction from the current 4.</w:t>
            </w:r>
            <w:r>
              <w:rPr>
                <w:b w:val="0"/>
                <w:i w:val="0"/>
              </w:rPr>
              <w:t>85%</w:t>
            </w:r>
          </w:p>
          <w:p>
            <w:r>
              <w:t xml:space="preserve">• </w:t>
            </w:r>
            <w:r>
              <w:rPr>
                <w:b w:val="0"/>
                <w:i w:val="0"/>
              </w:rPr>
              <w:t>Stamp Duty: Reduction from the current ~10% across insurance categories.</w:t>
            </w:r>
          </w:p>
        </w:tc>
        <w:tc>
          <w:tcPr>
            <w:tcW w:type="dxa" w:w="3137"/>
          </w:tcPr>
          <w:p>
            <w:r>
              <w:t xml:space="preserve">• </w:t>
            </w:r>
            <w:r>
              <w:rPr>
                <w:b w:val="0"/>
                <w:i w:val="0"/>
              </w:rPr>
              <w:t>Promote the true cost of insurance.</w:t>
            </w:r>
          </w:p>
          <w:p>
            <w:r>
              <w:t xml:space="preserve">• </w:t>
            </w:r>
            <w:r>
              <w:rPr>
                <w:b w:val="0"/>
                <w:i w:val="0"/>
              </w:rPr>
              <w:t xml:space="preserve">Accountability </w:t>
            </w:r>
            <w:r>
              <w:rPr>
                <w:b w:val="0"/>
                <w:i w:val="0"/>
              </w:rPr>
              <w:t>for insurance premium increases.</w:t>
            </w:r>
          </w:p>
          <w:p>
            <w:r>
              <w:t xml:space="preserve">• </w:t>
            </w:r>
            <w:r>
              <w:rPr>
                <w:b w:val="0"/>
                <w:i w:val="0"/>
              </w:rPr>
              <w:t xml:space="preserve">Incentivising Mutual and </w:t>
            </w:r>
            <w:r>
              <w:rPr>
                <w:b w:val="0"/>
                <w:i w:val="0"/>
              </w:rPr>
              <w:t>Not-for-Profit</w:t>
            </w:r>
            <w:r>
              <w:rPr>
                <w:b w:val="0"/>
                <w:i w:val="0"/>
              </w:rPr>
              <w:t xml:space="preserve"> Insurers.</w:t>
            </w:r>
          </w:p>
          <w:p>
            <w:r>
              <w:t xml:space="preserve">• </w:t>
            </w:r>
            <w:r>
              <w:rPr>
                <w:b w:val="0"/>
                <w:i w:val="0"/>
              </w:rPr>
              <w:t xml:space="preserve">Strengthen competition in the </w:t>
            </w:r>
            <w:r>
              <w:rPr>
                <w:b w:val="0"/>
                <w:i w:val="0"/>
              </w:rPr>
              <w:t xml:space="preserve">insurance </w:t>
            </w:r>
            <w:r>
              <w:rPr>
                <w:b w:val="0"/>
                <w:i w:val="0"/>
              </w:rPr>
              <w:t>market (reward customer-centricity).</w:t>
            </w:r>
          </w:p>
          <w:p>
            <w:r>
              <w:t xml:space="preserve">• </w:t>
            </w:r>
            <w:r>
              <w:rPr>
                <w:b w:val="0"/>
                <w:i w:val="0"/>
              </w:rPr>
              <w:t>Enable better consumer decision-making.</w:t>
            </w:r>
          </w:p>
          <w:p>
            <w:r>
              <w:t xml:space="preserve">• </w:t>
            </w:r>
            <w:r>
              <w:rPr>
                <w:b w:val="0"/>
                <w:i w:val="0"/>
              </w:rPr>
              <w:t>Apply Downward pressure on prices over time, due to market forces.</w:t>
            </w:r>
          </w:p>
        </w:tc>
      </w:tr>
    </w:tbl>
    <w:p/>
    <w:p>
      <w:r>
        <w:rPr>
          <w:b w:val="0"/>
          <w:i w:val="0"/>
        </w:rPr>
        <w:t xml:space="preserve">If Victorians are informed </w:t>
      </w:r>
      <w:r>
        <w:rPr>
          <w:b w:val="0"/>
          <w:i w:val="0"/>
        </w:rPr>
        <w:t>about the real cost of insurance and what their insurer is doing to mitigate rising premiums, then consumers can make informed decisions about</w:t>
      </w:r>
      <w:r>
        <w:rPr>
          <w:b w:val="0"/>
          <w:i w:val="0"/>
        </w:rPr>
        <w:t xml:space="preserve"> their insurer. This policy element also </w:t>
      </w:r>
      <w:r>
        <w:rPr>
          <w:b w:val="0"/>
          <w:i w:val="0"/>
        </w:rPr>
        <w:t>assists</w:t>
      </w:r>
      <w:r>
        <w:rPr>
          <w:b w:val="0"/>
          <w:i w:val="0"/>
        </w:rPr>
        <w:t xml:space="preserve"> </w:t>
      </w:r>
      <w:r>
        <w:rPr>
          <w:b w:val="0"/>
          <w:i w:val="0"/>
        </w:rPr>
        <w:t>mutual and not-for-profit insurers by providing a structural mechanism to reduce the cost of operating their businesses through lower</w:t>
      </w:r>
      <w:r>
        <w:rPr>
          <w:b w:val="0"/>
          <w:i w:val="0"/>
        </w:rPr>
        <w:t xml:space="preserve"> payroll tax and stamp duty</w:t>
      </w:r>
      <w:r>
        <w:rPr>
          <w:b w:val="0"/>
          <w:i w:val="0"/>
        </w:rPr>
        <w:t xml:space="preserve">. Further modelling is required to determine the </w:t>
      </w:r>
      <w:r>
        <w:rPr>
          <w:b w:val="0"/>
          <w:i w:val="0"/>
        </w:rPr>
        <w:t>reductions in payroll tax and stamp duty; however, they will be aligned with the insurance sold to consumers at below-market rates.</w:t>
      </w:r>
    </w:p>
    <w:p>
      <w:pPr>
        <w:pStyle w:val="Heading2"/>
      </w:pPr>
      <w:r>
        <w:rPr>
          <w:b/>
          <w:i/>
        </w:rPr>
        <w:t xml:space="preserve">Transport: </w:t>
      </w:r>
      <w:r>
        <w:rPr>
          <w:b/>
          <w:i/>
        </w:rPr>
        <w:t xml:space="preserve">Access to </w:t>
      </w:r>
      <w:r>
        <w:rPr>
          <w:b/>
          <w:i/>
        </w:rPr>
        <w:t xml:space="preserve">Public </w:t>
      </w:r>
      <w:r>
        <w:rPr>
          <w:b/>
          <w:i/>
        </w:rPr>
        <w:t>Transport</w:t>
      </w:r>
    </w:p>
    <w:p>
      <w:r>
        <w:rPr>
          <w:b w:val="0"/>
          <w:i w:val="0"/>
        </w:rPr>
        <w:t xml:space="preserve">Affordable transport is essential for economic participation, education and social </w:t>
      </w:r>
      <w:r>
        <w:rPr>
          <w:b w:val="0"/>
          <w:i w:val="0"/>
        </w:rPr>
        <w:t>inclusion. However, rising energy costs</w:t>
      </w:r>
      <w:r>
        <w:rPr>
          <w:b w:val="0"/>
          <w:i w:val="0"/>
        </w:rPr>
        <w:t xml:space="preserve"> and static pricing structures in Victoria have increased the financial burden on households, specifically for those</w:t>
      </w:r>
      <w:r>
        <w:rPr>
          <w:b w:val="0"/>
          <w:i w:val="0"/>
        </w:rPr>
        <w:t xml:space="preserve"> who rely on public transport. The current fare structures are predominantly fixed, with limited responsiveness to demand, </w:t>
      </w:r>
      <w:r>
        <w:rPr>
          <w:b w:val="0"/>
          <w:i w:val="0"/>
        </w:rPr>
        <w:t>time of use, or individual circumstances</w:t>
      </w:r>
      <w:r>
        <w:rPr>
          <w:b w:val="0"/>
          <w:i w:val="0"/>
        </w:rPr>
        <w:t xml:space="preserve">. </w:t>
      </w:r>
      <w:r>
        <w:rPr>
          <w:b w:val="0"/>
          <w:i w:val="0"/>
        </w:rPr>
        <w:t>Victorians need a more dynamic</w:t>
      </w:r>
      <w:r>
        <w:rPr>
          <w:b w:val="0"/>
          <w:i w:val="0"/>
        </w:rPr>
        <w:t>, socially responsive approach to address</w:t>
      </w:r>
      <w:r>
        <w:rPr>
          <w:b w:val="0"/>
          <w:i w:val="0"/>
        </w:rPr>
        <w:t xml:space="preserve"> transport costs</w:t>
      </w:r>
      <w:r>
        <w:rPr>
          <w:b w:val="0"/>
          <w:i w:val="0"/>
        </w:rPr>
        <w:t>, as detailed in Table 5.</w:t>
      </w:r>
    </w:p>
    <w:p>
      <w:r>
        <w:rPr>
          <w:b/>
          <w:color w:val="147065"/>
          <w:sz w:val="16"/>
        </w:rPr>
        <w:t>TABLE 5: COST OF LIVING – POLICY ACTIONS – ACCESS TO PUBLIC TRANSPORT</w:t>
      </w:r>
    </w:p>
    <w:tbl>
      <w:tblPr>
        <w:tblStyle w:val="TableGrid"/>
        <w:tblW w:type="auto" w:w="0"/>
        <w:tblLook w:firstColumn="1" w:firstRow="1" w:lastColumn="0" w:lastRow="0" w:noHBand="0" w:noVBand="1" w:val="04A0"/>
      </w:tblPr>
      <w:tblGrid>
        <w:gridCol w:w="3137"/>
        <w:gridCol w:w="3137"/>
        <w:gridCol w:w="3137"/>
      </w:tblGrid>
      <w:tr>
        <w:tc>
          <w:tcPr>
            <w:tcW w:type="dxa" w:w="3137"/>
          </w:tcPr>
          <w:p>
            <w:r>
              <w:rPr>
                <w:b/>
                <w:i w:val="0"/>
              </w:rPr>
              <w:t>Policy Element</w:t>
            </w:r>
          </w:p>
        </w:tc>
        <w:tc>
          <w:tcPr>
            <w:tcW w:type="dxa" w:w="3137"/>
          </w:tcPr>
          <w:p>
            <w:r>
              <w:rPr>
                <w:b/>
                <w:i w:val="0"/>
              </w:rPr>
              <w:t>Action(s)</w:t>
            </w:r>
          </w:p>
        </w:tc>
        <w:tc>
          <w:tcPr>
            <w:tcW w:type="dxa" w:w="3137"/>
          </w:tcPr>
          <w:p>
            <w:r>
              <w:rPr>
                <w:b/>
                <w:i w:val="0"/>
              </w:rPr>
              <w:t>Impact(s)</w:t>
            </w:r>
          </w:p>
        </w:tc>
      </w:tr>
      <w:tr>
        <w:tc>
          <w:tcPr>
            <w:tcW w:type="dxa" w:w="3137"/>
          </w:tcPr>
          <w:p>
            <w:r>
              <w:rPr>
                <w:b/>
                <w:i w:val="0"/>
              </w:rPr>
              <w:t>Transport</w:t>
            </w:r>
            <w:r>
              <w:rPr>
                <w:b/>
                <w:i w:val="0"/>
              </w:rPr>
              <w:t>:</w:t>
            </w:r>
          </w:p>
          <w:p>
            <w:r>
              <w:rPr>
                <w:b w:val="0"/>
                <w:i w:val="0"/>
              </w:rPr>
              <w:t>Access to Transport</w:t>
            </w:r>
          </w:p>
        </w:tc>
        <w:tc>
          <w:tcPr>
            <w:tcW w:type="dxa" w:w="3137"/>
          </w:tcPr>
          <w:p>
            <w:r>
              <w:t xml:space="preserve">• </w:t>
            </w:r>
            <w:r>
              <w:rPr>
                <w:b w:val="0"/>
                <w:i w:val="0"/>
              </w:rPr>
              <w:t xml:space="preserve">Free transport for </w:t>
            </w:r>
            <w:r>
              <w:rPr>
                <w:b w:val="0"/>
                <w:i w:val="0"/>
              </w:rPr>
              <w:t xml:space="preserve">all </w:t>
            </w:r>
            <w:r>
              <w:rPr>
                <w:b w:val="0"/>
                <w:i w:val="0"/>
              </w:rPr>
              <w:t>students up to the age of 22</w:t>
            </w:r>
          </w:p>
          <w:p>
            <w:r>
              <w:t xml:space="preserve">• </w:t>
            </w:r>
            <w:r>
              <w:rPr>
                <w:b w:val="0"/>
                <w:i w:val="0"/>
              </w:rPr>
              <w:t>Free transport for pensioners.</w:t>
            </w:r>
          </w:p>
          <w:p>
            <w:r>
              <w:t xml:space="preserve">• </w:t>
            </w:r>
            <w:r>
              <w:rPr>
                <w:b w:val="0"/>
                <w:i w:val="0"/>
              </w:rPr>
              <w:t xml:space="preserve">Introduce </w:t>
            </w:r>
            <w:r>
              <w:rPr>
                <w:b w:val="0"/>
                <w:i w:val="0"/>
              </w:rPr>
              <w:t>dynamic</w:t>
            </w:r>
            <w:r>
              <w:rPr>
                <w:b w:val="0"/>
                <w:i w:val="0"/>
              </w:rPr>
              <w:t xml:space="preserve"> (time</w:t>
            </w:r>
            <w:r>
              <w:rPr>
                <w:b w:val="0"/>
                <w:i w:val="0"/>
              </w:rPr>
              <w:t>-of-day) pricing for peak/off-peak periods</w:t>
            </w:r>
            <w:r>
              <w:rPr>
                <w:b w:val="0"/>
                <w:i w:val="0"/>
              </w:rPr>
              <w:t>.</w:t>
            </w:r>
          </w:p>
          <w:p>
            <w:r>
              <w:t xml:space="preserve">• </w:t>
            </w:r>
            <w:r>
              <w:rPr>
                <w:b w:val="0"/>
                <w:i w:val="0"/>
              </w:rPr>
              <w:t xml:space="preserve">Standardised </w:t>
            </w:r>
            <w:r>
              <w:rPr>
                <w:b w:val="0"/>
                <w:i w:val="0"/>
              </w:rPr>
              <w:t>travel cost</w:t>
            </w:r>
            <w:r>
              <w:rPr>
                <w:b w:val="0"/>
                <w:i w:val="0"/>
              </w:rPr>
              <w:t xml:space="preserve"> across all zones</w:t>
            </w:r>
            <w:r>
              <w:rPr>
                <w:b w:val="0"/>
                <w:i w:val="0"/>
              </w:rPr>
              <w:t>.</w:t>
            </w:r>
          </w:p>
          <w:p>
            <w:r>
              <w:t xml:space="preserve">• </w:t>
            </w:r>
            <w:r>
              <w:rPr>
                <w:b w:val="0"/>
                <w:i w:val="0"/>
              </w:rPr>
              <w:t>Implement daily &amp; weekly caps for transport</w:t>
            </w:r>
            <w:r>
              <w:rPr>
                <w:b w:val="0"/>
                <w:i w:val="0"/>
              </w:rPr>
              <w:t>.</w:t>
            </w:r>
          </w:p>
          <w:p>
            <w:r>
              <w:t xml:space="preserve">• </w:t>
            </w:r>
            <w:r>
              <w:rPr>
                <w:b w:val="0"/>
                <w:i w:val="0"/>
              </w:rPr>
              <w:t>Establish a transport hardship mechanism</w:t>
            </w:r>
            <w:r>
              <w:rPr>
                <w:b w:val="0"/>
                <w:i w:val="0"/>
              </w:rPr>
              <w:t xml:space="preserve"> to provide reduced or free travel for those </w:t>
            </w:r>
            <w:r>
              <w:rPr>
                <w:b w:val="0"/>
                <w:i w:val="0"/>
              </w:rPr>
              <w:t>experienc</w:t>
            </w:r>
            <w:r>
              <w:rPr>
                <w:b w:val="0"/>
                <w:i w:val="0"/>
              </w:rPr>
              <w:t>ing temporary economic disadvantage.</w:t>
            </w:r>
          </w:p>
          <w:p>
            <w:r>
              <w:t xml:space="preserve">• </w:t>
            </w:r>
            <w:r>
              <w:rPr>
                <w:b w:val="0"/>
                <w:i w:val="0"/>
              </w:rPr>
              <w:t>Discounted travel for job se</w:t>
            </w:r>
            <w:r>
              <w:rPr>
                <w:b w:val="0"/>
                <w:i w:val="0"/>
              </w:rPr>
              <w:t>ekers; a temporary arrangement whilst unemployed, yet not eligible</w:t>
            </w:r>
            <w:r>
              <w:rPr>
                <w:b w:val="0"/>
                <w:i w:val="0"/>
              </w:rPr>
              <w:t xml:space="preserve"> for </w:t>
            </w:r>
            <w:r>
              <w:rPr>
                <w:b w:val="0"/>
                <w:i w:val="0"/>
              </w:rPr>
              <w:t>concession</w:t>
            </w:r>
            <w:r>
              <w:rPr>
                <w:b w:val="0"/>
                <w:i w:val="0"/>
              </w:rPr>
              <w:t xml:space="preserve"> relief.</w:t>
            </w:r>
          </w:p>
        </w:tc>
        <w:tc>
          <w:tcPr>
            <w:tcW w:type="dxa" w:w="3137"/>
          </w:tcPr>
          <w:p>
            <w:r>
              <w:t xml:space="preserve">• </w:t>
            </w:r>
            <w:r>
              <w:rPr>
                <w:b w:val="0"/>
                <w:i w:val="0"/>
              </w:rPr>
              <w:t>Lower transport costs for households, particularly vulnerable groups.</w:t>
            </w:r>
          </w:p>
          <w:p>
            <w:r>
              <w:t xml:space="preserve">• </w:t>
            </w:r>
            <w:r>
              <w:rPr>
                <w:b w:val="0"/>
                <w:i w:val="0"/>
              </w:rPr>
              <w:t>Improved access to employment, education, and essential services.</w:t>
            </w:r>
          </w:p>
          <w:p>
            <w:r>
              <w:t xml:space="preserve">• </w:t>
            </w:r>
            <w:r>
              <w:rPr>
                <w:b w:val="0"/>
                <w:i w:val="0"/>
              </w:rPr>
              <w:t>Reduced geographic inequality across Victoria.</w:t>
            </w:r>
          </w:p>
          <w:p>
            <w:r>
              <w:t xml:space="preserve">• </w:t>
            </w:r>
            <w:r>
              <w:rPr>
                <w:b w:val="0"/>
                <w:i w:val="0"/>
              </w:rPr>
              <w:t>Increased public transport usage and more efficient network utilisation.</w:t>
            </w:r>
          </w:p>
        </w:tc>
      </w:tr>
    </w:tbl>
    <w:p/>
    <w:p>
      <w:r>
        <w:rPr>
          <w:b w:val="0"/>
          <w:i w:val="0"/>
        </w:rPr>
        <w:t xml:space="preserve">Access to public transport is a strategic enabler </w:t>
      </w:r>
      <w:r>
        <w:rPr>
          <w:b w:val="0"/>
          <w:i w:val="0"/>
        </w:rPr>
        <w:t>for</w:t>
      </w:r>
      <w:r>
        <w:rPr>
          <w:b w:val="0"/>
          <w:i w:val="0"/>
        </w:rPr>
        <w:t xml:space="preserve"> </w:t>
      </w:r>
      <w:r>
        <w:rPr>
          <w:b w:val="0"/>
          <w:i w:val="0"/>
        </w:rPr>
        <w:t>Victorians across all categories, and</w:t>
      </w:r>
      <w:r>
        <w:rPr>
          <w:b w:val="0"/>
          <w:i w:val="0"/>
        </w:rPr>
        <w:t>, given the cost-of-living</w:t>
      </w:r>
      <w:r>
        <w:rPr>
          <w:b w:val="0"/>
          <w:i w:val="0"/>
        </w:rPr>
        <w:t xml:space="preserve"> pressures, there needs to be a more dynamic and innovative approach to transport.</w:t>
      </w:r>
      <w:r>
        <w:rPr>
          <w:b w:val="0"/>
          <w:i w:val="0"/>
        </w:rPr>
        <w:t xml:space="preserve"> </w:t>
      </w:r>
      <w:r>
        <w:rPr>
          <w:b w:val="0"/>
          <w:i w:val="0"/>
        </w:rPr>
        <w:t>B</w:t>
      </w:r>
      <w:r>
        <w:rPr>
          <w:b w:val="0"/>
          <w:i w:val="0"/>
        </w:rPr>
        <w:t>eing dynamic, a student can be assisted during period</w:t>
      </w:r>
      <w:r>
        <w:rPr>
          <w:b w:val="0"/>
          <w:i w:val="0"/>
        </w:rPr>
        <w:t xml:space="preserve">s of not having full employment. Similarly, </w:t>
      </w:r>
      <w:r>
        <w:rPr>
          <w:b w:val="0"/>
          <w:i w:val="0"/>
        </w:rPr>
        <w:t>for those suffering temporary hardship</w:t>
      </w:r>
      <w:r>
        <w:rPr>
          <w:b w:val="0"/>
          <w:i w:val="0"/>
        </w:rPr>
        <w:t xml:space="preserve"> or </w:t>
      </w:r>
      <w:r>
        <w:rPr>
          <w:b w:val="0"/>
          <w:i w:val="0"/>
        </w:rPr>
        <w:t>seeking a job who don’t qualify for a concession card,</w:t>
      </w:r>
      <w:r>
        <w:rPr>
          <w:b w:val="0"/>
          <w:i w:val="0"/>
        </w:rPr>
        <w:t xml:space="preserve"> greater access to public transport can be the difference between remaining financially stable and mitigating financial risk.</w:t>
      </w:r>
    </w:p>
    <w:p>
      <w:pPr>
        <w:pStyle w:val="Heading2"/>
      </w:pPr>
      <w:r>
        <w:rPr>
          <w:b/>
          <w:i/>
        </w:rPr>
        <w:t>Food: Food Cost Management</w:t>
      </w:r>
    </w:p>
    <w:p>
      <w:r>
        <w:rPr>
          <w:b w:val="0"/>
          <w:i w:val="0"/>
        </w:rPr>
        <w:t>Rising food prices are being driven by increasing production, processing, and distribution costs across the supply chain. Farmers, manufacturers, and distributors are facing sustained cost pressures</w:t>
      </w:r>
      <w:r>
        <w:rPr>
          <w:b w:val="0"/>
          <w:i w:val="0"/>
        </w:rPr>
        <w:t xml:space="preserve">, especially </w:t>
      </w:r>
      <w:r>
        <w:rPr>
          <w:b w:val="0"/>
          <w:i w:val="0"/>
        </w:rPr>
        <w:t xml:space="preserve">in </w:t>
      </w:r>
      <w:r>
        <w:rPr>
          <w:b w:val="0"/>
          <w:i w:val="0"/>
        </w:rPr>
        <w:t>E</w:t>
      </w:r>
      <w:r>
        <w:rPr>
          <w:b w:val="0"/>
          <w:i w:val="0"/>
        </w:rPr>
        <w:t>nergy, labour, and logistics</w:t>
      </w:r>
      <w:r>
        <w:rPr>
          <w:b w:val="0"/>
          <w:i w:val="0"/>
        </w:rPr>
        <w:t xml:space="preserve">, </w:t>
      </w:r>
      <w:r>
        <w:rPr>
          <w:b w:val="0"/>
          <w:i w:val="0"/>
        </w:rPr>
        <w:t>which they are increasingly unable to absorb. As a result, these costs are passed through to consumers, contributing to ongoing increases in the cost of essential goods.</w:t>
      </w:r>
      <w:r>
        <w:rPr>
          <w:b w:val="0"/>
          <w:i w:val="0"/>
        </w:rPr>
        <w:t xml:space="preserve"> Table 6 details the specific actions that we seek to establish in response to this societal problem.</w:t>
      </w:r>
    </w:p>
    <w:p>
      <w:r>
        <w:rPr>
          <w:b w:val="0"/>
          <w:i w:val="0"/>
        </w:rPr>
        <w:t xml:space="preserve">At the same time, Australia’s highly concentrated supermarket sector limits competitive pressures within the retail market. This imbalance reduces </w:t>
      </w:r>
      <w:r>
        <w:rPr>
          <w:b w:val="0"/>
          <w:i w:val="0"/>
        </w:rPr>
        <w:t>suppliers</w:t>
      </w:r>
      <w:r>
        <w:rPr>
          <w:b w:val="0"/>
          <w:i w:val="0"/>
        </w:rPr>
        <w:t>’</w:t>
      </w:r>
      <w:r>
        <w:rPr>
          <w:b w:val="0"/>
          <w:i w:val="0"/>
        </w:rPr>
        <w:t xml:space="preserve"> bargaining power </w:t>
      </w:r>
      <w:r>
        <w:rPr>
          <w:b w:val="0"/>
          <w:i w:val="0"/>
        </w:rPr>
        <w:t xml:space="preserve">and contributes to pricing outcomes that are </w:t>
      </w:r>
      <w:r>
        <w:rPr>
          <w:b w:val="0"/>
          <w:i w:val="0"/>
        </w:rPr>
        <w:t>often opaque or fail to reflect</w:t>
      </w:r>
      <w:r>
        <w:rPr>
          <w:b w:val="0"/>
          <w:i w:val="0"/>
        </w:rPr>
        <w:t xml:space="preserve"> underlying costs. Without targeted interventions, food affordability will continue to deteriorate, disproportionately impacting low-income households and weakening overall supply chain resilience.</w:t>
      </w:r>
    </w:p>
    <w:p>
      <w:r>
        <w:rPr>
          <w:b/>
          <w:color w:val="147065"/>
          <w:sz w:val="16"/>
        </w:rPr>
        <w:t>TABLE 6: COST OF LIVING – POLICY ACTIONS – FOOD COST MANAGEMENT</w:t>
      </w:r>
    </w:p>
    <w:tbl>
      <w:tblPr>
        <w:tblStyle w:val="TableGrid"/>
        <w:tblW w:type="auto" w:w="0"/>
        <w:tblLook w:firstColumn="1" w:firstRow="1" w:lastColumn="0" w:lastRow="0" w:noHBand="0" w:noVBand="1" w:val="04A0"/>
      </w:tblPr>
      <w:tblGrid>
        <w:gridCol w:w="3137"/>
        <w:gridCol w:w="3137"/>
        <w:gridCol w:w="3137"/>
      </w:tblGrid>
      <w:tr>
        <w:tc>
          <w:tcPr>
            <w:tcW w:type="dxa" w:w="3137"/>
          </w:tcPr>
          <w:p>
            <w:r>
              <w:rPr>
                <w:b/>
                <w:i w:val="0"/>
              </w:rPr>
              <w:t>Policy Element</w:t>
            </w:r>
          </w:p>
        </w:tc>
        <w:tc>
          <w:tcPr>
            <w:tcW w:type="dxa" w:w="3137"/>
          </w:tcPr>
          <w:p>
            <w:r>
              <w:rPr>
                <w:b/>
                <w:i w:val="0"/>
              </w:rPr>
              <w:t>Action(s)</w:t>
            </w:r>
          </w:p>
        </w:tc>
        <w:tc>
          <w:tcPr>
            <w:tcW w:type="dxa" w:w="3137"/>
          </w:tcPr>
          <w:p>
            <w:r>
              <w:rPr>
                <w:b/>
                <w:i w:val="0"/>
              </w:rPr>
              <w:t>Impact(s)</w:t>
            </w:r>
          </w:p>
        </w:tc>
      </w:tr>
      <w:tr>
        <w:tc>
          <w:tcPr>
            <w:tcW w:type="dxa" w:w="3137"/>
          </w:tcPr>
          <w:p>
            <w:r>
              <w:rPr>
                <w:b/>
                <w:i w:val="0"/>
              </w:rPr>
              <w:t>Food</w:t>
            </w:r>
            <w:r>
              <w:rPr>
                <w:b/>
                <w:i w:val="0"/>
              </w:rPr>
              <w:t>:</w:t>
            </w:r>
          </w:p>
          <w:p>
            <w:r>
              <w:rPr>
                <w:b w:val="0"/>
                <w:i w:val="0"/>
              </w:rPr>
              <w:t>Escalating price increases</w:t>
            </w:r>
          </w:p>
        </w:tc>
        <w:tc>
          <w:tcPr>
            <w:tcW w:type="dxa" w:w="3137"/>
          </w:tcPr>
          <w:p>
            <w:r>
              <w:t xml:space="preserve">• </w:t>
            </w:r>
            <w:r>
              <w:rPr>
                <w:b w:val="0"/>
                <w:i w:val="0"/>
              </w:rPr>
              <w:t>Food Pricing Transparency Framework</w:t>
            </w:r>
          </w:p>
          <w:p>
            <w:r>
              <w:t xml:space="preserve">• </w:t>
            </w:r>
            <w:r>
              <w:rPr>
                <w:b w:val="0"/>
                <w:i w:val="0"/>
              </w:rPr>
              <w:t xml:space="preserve"> Require major supermarket chains to disclose price increases on essential goods where increases exceed 10% within </w:t>
            </w:r>
            <w:r>
              <w:rPr>
                <w:b w:val="0"/>
                <w:i w:val="0"/>
              </w:rPr>
              <w:t>6 months</w:t>
            </w:r>
          </w:p>
          <w:p>
            <w:r>
              <w:t xml:space="preserve">• </w:t>
            </w:r>
            <w:r>
              <w:rPr>
                <w:b w:val="0"/>
                <w:i w:val="0"/>
              </w:rPr>
              <w:t xml:space="preserve">Publish aggregated farmgate-to-retail price spreads across key categories  </w:t>
            </w:r>
          </w:p>
          <w:p>
            <w:r>
              <w:t xml:space="preserve">• </w:t>
            </w:r>
            <w:r>
              <w:rPr>
                <w:b w:val="0"/>
                <w:i w:val="0"/>
              </w:rPr>
              <w:t>Mandatory Fair Dealing Code (with enforcement</w:t>
            </w:r>
            <w:r>
              <w:rPr>
                <w:b w:val="0"/>
                <w:i w:val="0"/>
              </w:rPr>
              <w:t>)</w:t>
            </w:r>
          </w:p>
          <w:p>
            <w:r>
              <w:t xml:space="preserve">• </w:t>
            </w:r>
            <w:r>
              <w:rPr>
                <w:b w:val="0"/>
                <w:i w:val="0"/>
              </w:rPr>
              <w:t xml:space="preserve">Introduce </w:t>
            </w:r>
            <w:r>
              <w:rPr>
                <w:b w:val="0"/>
                <w:i w:val="0"/>
              </w:rPr>
              <w:t>a maximum supplier payment term of 30 days from the invoice dat</w:t>
            </w:r>
            <w:r>
              <w:rPr>
                <w:b w:val="0"/>
                <w:i w:val="0"/>
              </w:rPr>
              <w:t>e</w:t>
            </w:r>
          </w:p>
          <w:p>
            <w:r>
              <w:t xml:space="preserve">• </w:t>
            </w:r>
            <w:r>
              <w:rPr>
                <w:b w:val="0"/>
                <w:i w:val="0"/>
              </w:rPr>
              <w:t>Prohibit unilateral contract changes and unfair deduction practices</w:t>
            </w:r>
          </w:p>
          <w:p>
            <w:r>
              <w:t xml:space="preserve">• </w:t>
            </w:r>
            <w:r>
              <w:rPr>
                <w:b w:val="0"/>
                <w:i w:val="0"/>
              </w:rPr>
              <w:t>Apply financial penalties for non-compliance</w:t>
            </w:r>
            <w:r>
              <w:rPr>
                <w:b w:val="0"/>
                <w:i w:val="0"/>
              </w:rPr>
              <w:t>,</w:t>
            </w:r>
            <w:r>
              <w:rPr>
                <w:b w:val="0"/>
                <w:i w:val="0"/>
              </w:rPr>
              <w:t xml:space="preserve"> enforced through a Victorian regulatory mechanism</w:t>
            </w:r>
          </w:p>
          <w:p>
            <w:r>
              <w:t xml:space="preserve">• </w:t>
            </w:r>
            <w:r>
              <w:rPr>
                <w:b w:val="0"/>
                <w:i w:val="0"/>
              </w:rPr>
              <w:t xml:space="preserve">Targeted Cost Relief for Food Producers:  </w:t>
            </w:r>
          </w:p>
          <w:p>
            <w:r>
              <w:t xml:space="preserve">• </w:t>
            </w:r>
            <w:r>
              <w:rPr>
                <w:b w:val="0"/>
                <w:i w:val="0"/>
              </w:rPr>
              <w:t xml:space="preserve"> Provide a payroll tax reduction of up to 50% for eligible SMEs in food manufacturing, processing, and distribution</w:t>
            </w:r>
          </w:p>
          <w:p>
            <w:r>
              <w:t xml:space="preserve">• </w:t>
            </w:r>
            <w:r>
              <w:rPr>
                <w:b w:val="0"/>
                <w:i w:val="0"/>
              </w:rPr>
              <w:t>Apply to businesses with annual wages below $10 million operating in Victoria</w:t>
            </w:r>
          </w:p>
          <w:p>
            <w:r>
              <w:t xml:space="preserve">• </w:t>
            </w:r>
            <w:r>
              <w:rPr>
                <w:b w:val="0"/>
                <w:i w:val="0"/>
              </w:rPr>
              <w:t>Introduce energy rebates of 10–15% for electricity used in refrigeration, irrigation, and processing</w:t>
            </w:r>
          </w:p>
          <w:p>
            <w:r>
              <w:rPr>
                <w:b w:val="0"/>
                <w:i w:val="0"/>
              </w:rPr>
              <w:t>(</w:t>
            </w:r>
            <w:r>
              <w:rPr>
                <w:b w:val="0"/>
                <w:i w:val="0"/>
              </w:rPr>
              <w:t>Time-limited support</w:t>
            </w:r>
            <w:r>
              <w:rPr>
                <w:b w:val="0"/>
                <w:i w:val="0"/>
              </w:rPr>
              <w:t xml:space="preserve">, </w:t>
            </w:r>
            <w:r>
              <w:rPr>
                <w:b w:val="0"/>
                <w:i w:val="0"/>
              </w:rPr>
              <w:t>e.g.</w:t>
            </w:r>
            <w:r>
              <w:rPr>
                <w:b w:val="0"/>
                <w:i w:val="0"/>
              </w:rPr>
              <w:t>, reviewed annually and</w:t>
            </w:r>
            <w:r>
              <w:rPr>
                <w:b w:val="0"/>
                <w:i w:val="0"/>
              </w:rPr>
              <w:t xml:space="preserve"> </w:t>
            </w:r>
            <w:r>
              <w:rPr>
                <w:b w:val="0"/>
                <w:i w:val="0"/>
              </w:rPr>
              <w:t>linked to ongoing cost pressures</w:t>
            </w:r>
            <w:r>
              <w:rPr>
                <w:b w:val="0"/>
                <w:i w:val="0"/>
              </w:rPr>
              <w:t>)</w:t>
            </w:r>
          </w:p>
          <w:p>
            <w:r>
              <w:t xml:space="preserve">• </w:t>
            </w:r>
            <w:r>
              <w:rPr>
                <w:b w:val="0"/>
                <w:i w:val="0"/>
              </w:rPr>
              <w:t>Victorian Food Supply Resilience Fund</w:t>
            </w:r>
            <w:r>
              <w:rPr>
                <w:b w:val="0"/>
                <w:i w:val="0"/>
              </w:rPr>
              <w:t>:</w:t>
            </w:r>
          </w:p>
          <w:p>
            <w:r>
              <w:t xml:space="preserve">• </w:t>
            </w:r>
            <w:r>
              <w:rPr>
                <w:b w:val="0"/>
                <w:i w:val="0"/>
              </w:rPr>
              <w:t xml:space="preserve"> Establish a $200–300 million fund (over 4 years) to invest in:   Regional processing facilities</w:t>
            </w:r>
            <w:r>
              <w:rPr>
                <w:b w:val="0"/>
                <w:i w:val="0"/>
              </w:rPr>
              <w:t>,</w:t>
            </w:r>
            <w:r>
              <w:rPr>
                <w:b w:val="0"/>
                <w:i w:val="0"/>
              </w:rPr>
              <w:t xml:space="preserve"> Cold-chain logistics and storage</w:t>
            </w:r>
            <w:r>
              <w:rPr>
                <w:b w:val="0"/>
                <w:i w:val="0"/>
              </w:rPr>
              <w:t xml:space="preserve">, </w:t>
            </w:r>
            <w:r>
              <w:rPr>
                <w:b w:val="0"/>
                <w:i w:val="0"/>
              </w:rPr>
              <w:t>Local distribution hubs</w:t>
            </w:r>
          </w:p>
          <w:p>
            <w:r>
              <w:t xml:space="preserve">• </w:t>
            </w:r>
            <w:r>
              <w:rPr>
                <w:b w:val="0"/>
                <w:i w:val="0"/>
              </w:rPr>
              <w:t>Provide co-investment grants (up to 30–50%) for eligible projects</w:t>
            </w:r>
          </w:p>
          <w:p>
            <w:r>
              <w:t xml:space="preserve">• </w:t>
            </w:r>
            <w:r>
              <w:rPr>
                <w:b w:val="0"/>
                <w:i w:val="0"/>
              </w:rPr>
              <w:t>Support Alternative Food Markets:</w:t>
            </w:r>
          </w:p>
          <w:p>
            <w:r>
              <w:t xml:space="preserve">• </w:t>
            </w:r>
            <w:r>
              <w:rPr>
                <w:b w:val="0"/>
                <w:i w:val="0"/>
              </w:rPr>
              <w:t>Provide grants of up to $250,000 for co-operatives, farmers’ markets, and direct-to-consumer platforms</w:t>
            </w:r>
            <w:r>
              <w:rPr>
                <w:b w:val="0"/>
                <w:i w:val="0"/>
              </w:rPr>
              <w:t>.</w:t>
            </w:r>
          </w:p>
          <w:p>
            <w:r>
              <w:t xml:space="preserve">• </w:t>
            </w:r>
            <w:r>
              <w:rPr>
                <w:b w:val="0"/>
                <w:i w:val="0"/>
              </w:rPr>
              <w:t>Streamline planning approvals and permits for local food retailing</w:t>
            </w:r>
            <w:r>
              <w:rPr>
                <w:b w:val="0"/>
                <w:i w:val="0"/>
              </w:rPr>
              <w:t>.</w:t>
            </w:r>
          </w:p>
          <w:p>
            <w:r>
              <w:t xml:space="preserve">• </w:t>
            </w:r>
            <w:r>
              <w:rPr>
                <w:b w:val="0"/>
                <w:i w:val="0"/>
              </w:rPr>
              <w:t>Introduce rate or fee waivers for community-based food markets</w:t>
            </w:r>
          </w:p>
        </w:tc>
        <w:tc>
          <w:tcPr>
            <w:tcW w:type="dxa" w:w="3137"/>
          </w:tcPr>
          <w:p>
            <w:r>
              <w:t xml:space="preserve">• </w:t>
            </w:r>
            <w:r>
              <w:rPr>
                <w:b w:val="0"/>
                <w:i w:val="0"/>
              </w:rPr>
              <w:t>Improve transparency and accountability in food pricing</w:t>
            </w:r>
          </w:p>
          <w:p>
            <w:r>
              <w:t xml:space="preserve">• </w:t>
            </w:r>
            <w:r>
              <w:rPr>
                <w:b w:val="0"/>
                <w:i w:val="0"/>
              </w:rPr>
              <w:t>Apply downward pressure on grocery price increases</w:t>
            </w:r>
          </w:p>
          <w:p>
            <w:r>
              <w:t xml:space="preserve">• </w:t>
            </w:r>
            <w:r>
              <w:rPr>
                <w:b w:val="0"/>
                <w:i w:val="0"/>
              </w:rPr>
              <w:t>Strengthen supplier bargaining power and cash flow stability</w:t>
            </w:r>
          </w:p>
          <w:p>
            <w:r>
              <w:t xml:space="preserve">• </w:t>
            </w:r>
            <w:r>
              <w:rPr>
                <w:b w:val="0"/>
                <w:i w:val="0"/>
              </w:rPr>
              <w:t>Reduce production costs across the supply chain</w:t>
            </w:r>
          </w:p>
          <w:p>
            <w:r>
              <w:t xml:space="preserve">• </w:t>
            </w:r>
            <w:r>
              <w:rPr>
                <w:b w:val="0"/>
                <w:i w:val="0"/>
              </w:rPr>
              <w:t>Limit cost pass-through to consumers over time</w:t>
            </w:r>
          </w:p>
          <w:p>
            <w:r>
              <w:t xml:space="preserve">• </w:t>
            </w:r>
            <w:r>
              <w:rPr>
                <w:b w:val="0"/>
                <w:i w:val="0"/>
              </w:rPr>
              <w:t>Improve supply chain resilience and efficiency</w:t>
            </w:r>
          </w:p>
          <w:p>
            <w:r>
              <w:t xml:space="preserve">• </w:t>
            </w:r>
            <w:r>
              <w:rPr>
                <w:b w:val="0"/>
                <w:i w:val="0"/>
              </w:rPr>
              <w:t>Increase competition and access to lower-cost food options</w:t>
            </w:r>
          </w:p>
          <w:p>
            <w:r>
              <w:t xml:space="preserve">• </w:t>
            </w:r>
            <w:r>
              <w:rPr>
                <w:b w:val="0"/>
                <w:i w:val="0"/>
              </w:rPr>
              <w:t>Support regional economies and local food systems</w:t>
            </w:r>
          </w:p>
        </w:tc>
      </w:tr>
    </w:tbl>
    <w:p/>
    <w:p>
      <w:pPr>
        <w:pStyle w:val="Heading1"/>
      </w:pPr>
      <w:r>
        <w:t xml:space="preserve">3. </w:t>
      </w:r>
      <w:r>
        <w:rPr>
          <w:b/>
          <w:i w:val="0"/>
        </w:rPr>
        <w:t>The Evidence</w:t>
      </w:r>
    </w:p>
    <w:p>
      <w:r>
        <w:rPr>
          <w:b w:val="0"/>
          <w:i w:val="0"/>
        </w:rPr>
        <w:t xml:space="preserve">Evidence consistently demonstrates that cost-of-living pressures in Victoria are not temporary or cyclical but the result of structural issues across housing, energy, food, transport, and insurance markets. National and state-level data </w:t>
      </w:r>
      <w:r>
        <w:rPr>
          <w:b w:val="0"/>
          <w:i w:val="0"/>
        </w:rPr>
        <w:t>show</w:t>
      </w:r>
      <w:r>
        <w:rPr>
          <w:b w:val="0"/>
          <w:i w:val="0"/>
        </w:rPr>
        <w:t xml:space="preserve"> sustained increases in the cost of essential goods and services, alongside rising financial stress, particularly for </w:t>
      </w:r>
      <w:r>
        <w:rPr>
          <w:b w:val="0"/>
          <w:i w:val="0"/>
        </w:rPr>
        <w:t>low-</w:t>
      </w:r>
      <w:r>
        <w:rPr>
          <w:b w:val="0"/>
          <w:i w:val="0"/>
        </w:rPr>
        <w:t xml:space="preserve"> </w:t>
      </w:r>
      <w:r>
        <w:rPr>
          <w:b w:val="0"/>
          <w:i w:val="0"/>
        </w:rPr>
        <w:t>and middle-income</w:t>
      </w:r>
      <w:r>
        <w:rPr>
          <w:b w:val="0"/>
          <w:i w:val="0"/>
        </w:rPr>
        <w:t xml:space="preserve"> households</w:t>
      </w:r>
      <w:r>
        <w:rPr>
          <w:b/>
          <w:vertAlign w:val="superscript"/>
        </w:rPr>
        <w:t>33</w:t>
      </w:r>
      <w:r>
        <w:rPr>
          <w:b w:val="0"/>
          <w:i w:val="0"/>
        </w:rPr>
        <w:t>.</w:t>
      </w:r>
    </w:p>
    <w:p>
      <w:r>
        <w:rPr>
          <w:b w:val="0"/>
          <w:i w:val="0"/>
        </w:rPr>
        <w:t xml:space="preserve">Research indicates that </w:t>
      </w:r>
      <w:r>
        <w:rPr>
          <w:b w:val="0"/>
          <w:i w:val="0"/>
        </w:rPr>
        <w:t>a combination of supply constraints, market concentration, pricing opacity, and rising input costs across key sectors drives these pressure</w:t>
      </w:r>
      <w:r>
        <w:rPr>
          <w:b w:val="0"/>
          <w:i w:val="0"/>
        </w:rPr>
        <w:t xml:space="preserve">s. These factors interact to create a system </w:t>
      </w:r>
      <w:r>
        <w:rPr>
          <w:b w:val="0"/>
          <w:i w:val="0"/>
        </w:rPr>
        <w:t xml:space="preserve">in which </w:t>
      </w:r>
      <w:r>
        <w:rPr>
          <w:b w:val="0"/>
          <w:i w:val="0"/>
        </w:rPr>
        <w:t>cost increases are regularly passed through to consumers, with limited downward pressure from competition or transparency</w:t>
      </w:r>
      <w:r>
        <w:rPr>
          <w:b/>
          <w:vertAlign w:val="superscript"/>
        </w:rPr>
        <w:t>34</w:t>
      </w:r>
      <w:r>
        <w:rPr>
          <w:b w:val="0"/>
          <w:i w:val="0"/>
        </w:rPr>
        <w:t>.</w:t>
      </w:r>
    </w:p>
    <w:p>
      <w:r>
        <w:rPr>
          <w:b w:val="0"/>
          <w:i w:val="0"/>
        </w:rPr>
        <w:t>If these structural issues remain unaddressed, the evidence suggests that:</w:t>
      </w:r>
    </w:p>
    <w:p>
      <w:pPr>
        <w:pStyle w:val="ListBullet"/>
      </w:pPr>
      <w:r>
        <w:rPr>
          <w:b w:val="0"/>
          <w:i w:val="0"/>
        </w:rPr>
        <w:t>Household financial stress will continue to increase, reducing disposable income and economic security</w:t>
      </w:r>
      <w:r>
        <w:rPr>
          <w:b/>
          <w:vertAlign w:val="superscript"/>
        </w:rPr>
        <w:t>35</w:t>
      </w:r>
    </w:p>
    <w:p>
      <w:pPr>
        <w:pStyle w:val="ListBullet"/>
      </w:pPr>
      <w:r>
        <w:rPr>
          <w:b w:val="0"/>
          <w:i w:val="0"/>
        </w:rPr>
        <w:t>Inequality will deepen, particularly between renters and homeowners, and between inner and outer suburban communities</w:t>
      </w:r>
      <w:r>
        <w:rPr>
          <w:b/>
          <w:vertAlign w:val="superscript"/>
        </w:rPr>
        <w:t>36</w:t>
      </w:r>
    </w:p>
    <w:p>
      <w:pPr>
        <w:pStyle w:val="ListBullet"/>
      </w:pPr>
      <w:r>
        <w:rPr>
          <w:b w:val="0"/>
          <w:i w:val="0"/>
        </w:rPr>
        <w:t>Access to essential services</w:t>
      </w:r>
      <w:r>
        <w:rPr>
          <w:b w:val="0"/>
          <w:i w:val="0"/>
        </w:rPr>
        <w:t xml:space="preserve">, </w:t>
      </w:r>
      <w:r>
        <w:rPr>
          <w:b w:val="0"/>
          <w:i w:val="0"/>
        </w:rPr>
        <w:t>including housing, transport, and insurance</w:t>
      </w:r>
      <w:r>
        <w:rPr>
          <w:b w:val="0"/>
          <w:i w:val="0"/>
        </w:rPr>
        <w:t xml:space="preserve">, </w:t>
      </w:r>
      <w:r>
        <w:rPr>
          <w:b w:val="0"/>
          <w:i w:val="0"/>
        </w:rPr>
        <w:t>will become increasingly constrained</w:t>
      </w:r>
      <w:r>
        <w:rPr>
          <w:b/>
          <w:vertAlign w:val="superscript"/>
        </w:rPr>
        <w:t>37</w:t>
      </w:r>
    </w:p>
    <w:p>
      <w:pPr>
        <w:pStyle w:val="ListBullet"/>
      </w:pPr>
      <w:r>
        <w:rPr>
          <w:b w:val="0"/>
          <w:i w:val="0"/>
        </w:rPr>
        <w:t>Economic participation will decline, as cost barriers limit access to work, education, and mobility</w:t>
      </w:r>
      <w:r>
        <w:rPr>
          <w:b/>
          <w:vertAlign w:val="superscript"/>
        </w:rPr>
        <w:t>38</w:t>
      </w:r>
    </w:p>
    <w:p>
      <w:pPr>
        <w:pStyle w:val="ListBullet"/>
      </w:pPr>
      <w:r>
        <w:rPr>
          <w:b w:val="0"/>
          <w:i w:val="0"/>
        </w:rPr>
        <w:t>Demand for government support services will increase, placing additional pressure on public finances</w:t>
      </w:r>
      <w:r>
        <w:rPr>
          <w:b/>
          <w:vertAlign w:val="superscript"/>
        </w:rPr>
        <w:t>39</w:t>
      </w:r>
    </w:p>
    <w:p>
      <w:r>
        <w:rPr>
          <w:b w:val="0"/>
          <w:i w:val="0"/>
        </w:rPr>
        <w:t>Conversely, evidence</w:t>
      </w:r>
      <w:r>
        <w:rPr>
          <w:b/>
          <w:vertAlign w:val="superscript"/>
        </w:rPr>
        <w:t>40</w:t>
      </w:r>
      <w:r>
        <w:rPr>
          <w:b w:val="0"/>
          <w:i w:val="0"/>
        </w:rPr>
        <w:t xml:space="preserve"> from comparable policy interventions demonstrates that addressing transparency, competition, and supply constraints can:</w:t>
      </w:r>
    </w:p>
    <w:p>
      <w:pPr>
        <w:pStyle w:val="ListBullet"/>
      </w:pPr>
      <w:r>
        <w:rPr>
          <w:b w:val="0"/>
          <w:i w:val="0"/>
        </w:rPr>
        <w:t>Improve market efficiency and consumer outcomes</w:t>
      </w:r>
    </w:p>
    <w:p>
      <w:pPr>
        <w:pStyle w:val="ListBullet"/>
      </w:pPr>
      <w:r>
        <w:rPr>
          <w:b w:val="0"/>
          <w:i w:val="0"/>
        </w:rPr>
        <w:t>Reduce sustained price pressures over time</w:t>
      </w:r>
    </w:p>
    <w:p>
      <w:pPr>
        <w:pStyle w:val="ListBullet"/>
      </w:pPr>
      <w:r>
        <w:rPr>
          <w:b w:val="0"/>
          <w:i w:val="0"/>
        </w:rPr>
        <w:t>Strengthen supply chain resilience</w:t>
      </w:r>
    </w:p>
    <w:p>
      <w:pPr>
        <w:pStyle w:val="ListBullet"/>
      </w:pPr>
      <w:r>
        <w:rPr>
          <w:b w:val="0"/>
          <w:i w:val="0"/>
        </w:rPr>
        <w:t>Enhance economic participation and social inclusion</w:t>
      </w:r>
    </w:p>
    <w:p>
      <w:r>
        <w:rPr>
          <w:b w:val="0"/>
          <w:i w:val="0"/>
        </w:rPr>
        <w:t>At its core, the evidence demonstrates that</w:t>
      </w:r>
      <w:r>
        <w:rPr>
          <w:b w:val="0"/>
          <w:i w:val="0"/>
        </w:rPr>
        <w:t>:</w:t>
      </w:r>
    </w:p>
    <w:p>
      <w:r>
        <w:rPr>
          <w:b/>
          <w:i w:val="0"/>
        </w:rPr>
        <w:t>C</w:t>
      </w:r>
      <w:r>
        <w:rPr>
          <w:b/>
          <w:i w:val="0"/>
        </w:rPr>
        <w:t xml:space="preserve">ost-of-living pressures cannot be resolved </w:t>
      </w:r>
      <w:r>
        <w:rPr>
          <w:b/>
          <w:i/>
        </w:rPr>
        <w:t>solely</w:t>
      </w:r>
      <w:r>
        <w:rPr>
          <w:b/>
          <w:i w:val="0"/>
        </w:rPr>
        <w:t xml:space="preserve"> through short-term relief measures</w:t>
      </w:r>
      <w:r>
        <w:rPr>
          <w:b/>
          <w:i w:val="0"/>
        </w:rPr>
        <w:t xml:space="preserve">. Without structural reform, price increases will persist. </w:t>
      </w:r>
    </w:p>
    <w:p>
      <w:r>
        <w:rPr>
          <w:b/>
          <w:i w:val="0"/>
        </w:rPr>
        <w:t>Addressing the underlying design of markets</w:t>
      </w:r>
      <w:r>
        <w:rPr>
          <w:b/>
          <w:i w:val="0"/>
        </w:rPr>
        <w:t xml:space="preserve">, </w:t>
      </w:r>
      <w:r>
        <w:rPr>
          <w:b/>
          <w:i w:val="0"/>
        </w:rPr>
        <w:t>how prices are set, how supply is enabled, and how competition functions</w:t>
      </w:r>
      <w:r>
        <w:rPr>
          <w:b/>
          <w:i w:val="0"/>
        </w:rPr>
        <w:t xml:space="preserve"> </w:t>
      </w:r>
      <w:r>
        <w:rPr>
          <w:b/>
          <w:i w:val="0"/>
        </w:rPr>
        <w:t>is essential to delivering sustainable cost-of-living relief for Victorians.</w:t>
      </w:r>
    </w:p>
    <w:p>
      <w:pPr>
        <w:pStyle w:val="Heading1"/>
      </w:pPr>
      <w:r>
        <w:t>4. References</w:t>
      </w:r>
    </w:p>
    <w:p>
      <w:r>
        <w:rPr>
          <w:b/>
        </w:rPr>
        <w:t xml:space="preserve">1. </w:t>
      </w:r>
      <w:r>
        <w:rPr>
          <w:b w:val="0"/>
          <w:i w:val="0"/>
        </w:rPr>
        <w:t xml:space="preserve"> </w:t>
      </w:r>
      <w:hyperlink r:id="rId11">
        <w:r>
          <w:rPr>
            <w:color w:val="147065"/>
            <w:u w:val="single"/>
          </w:rPr>
          <w:t xml:space="preserve">You don’t have to be an economist to know Australia is in a cost of living crisis. What are the signs and what needs to change?</w:t>
        </w:r>
      </w:hyperlink>
      <w:r>
        <w:rPr>
          <w:b w:val="0"/>
          <w:i w:val="0"/>
        </w:rPr>
        <w:t xml:space="preserve"> (Hawkins, J., </w:t>
      </w:r>
      <w:r>
        <w:rPr>
          <w:b w:val="0"/>
          <w:i w:val="0"/>
        </w:rPr>
        <w:t>August 21</w:t>
      </w:r>
      <w:r>
        <w:rPr>
          <w:b w:val="0"/>
          <w:i w:val="0"/>
        </w:rPr>
        <w:t>st</w:t>
      </w:r>
      <w:r>
        <w:rPr>
          <w:b w:val="0"/>
          <w:i w:val="0"/>
        </w:rPr>
        <w:t xml:space="preserve"> 2023, The Conversation)</w:t>
      </w:r>
    </w:p>
    <w:p>
      <w:r>
        <w:rPr>
          <w:b/>
        </w:rPr>
        <w:t xml:space="preserve">2. </w:t>
      </w:r>
      <w:r>
        <w:rPr>
          <w:b w:val="0"/>
          <w:i w:val="0"/>
        </w:rPr>
        <w:t xml:space="preserve"> </w:t>
      </w:r>
      <w:hyperlink r:id="rId12">
        <w:r>
          <w:rPr>
            <w:color w:val="147065"/>
            <w:u w:val="single"/>
          </w:rPr>
          <w:t xml:space="preserve">Victorians suffer the biggest jump in financial distress as cost of living soars</w:t>
        </w:r>
      </w:hyperlink>
      <w:r>
        <w:rPr>
          <w:b w:val="0"/>
          <w:i w:val="0"/>
        </w:rPr>
        <w:t xml:space="preserve"> (</w:t>
      </w:r>
      <w:r>
        <w:rPr>
          <w:b w:val="0"/>
          <w:i w:val="0"/>
        </w:rPr>
        <w:t xml:space="preserve">Carmody, B., March </w:t>
      </w:r>
      <w:r>
        <w:rPr>
          <w:b w:val="0"/>
          <w:i w:val="0"/>
        </w:rPr>
        <w:t>29</w:t>
      </w:r>
      <w:r>
        <w:rPr>
          <w:b w:val="0"/>
          <w:i w:val="0"/>
        </w:rPr>
        <w:t>th</w:t>
      </w:r>
      <w:r>
        <w:rPr>
          <w:b w:val="0"/>
          <w:i w:val="0"/>
        </w:rPr>
        <w:t xml:space="preserve"> 2024, The Age)</w:t>
      </w:r>
    </w:p>
    <w:p>
      <w:r>
        <w:rPr>
          <w:b/>
        </w:rPr>
        <w:t xml:space="preserve">3. </w:t>
      </w:r>
      <w:r>
        <w:rPr>
          <w:b w:val="0"/>
          <w:i w:val="0"/>
        </w:rPr>
        <w:t xml:space="preserve"> </w:t>
      </w:r>
      <w:hyperlink r:id="rId13">
        <w:r>
          <w:rPr>
            <w:color w:val="147065"/>
            <w:u w:val="single"/>
          </w:rPr>
          <w:t xml:space="preserve">Tom Elliott’s top examples of government decisions driving up the cost of living</w:t>
        </w:r>
      </w:hyperlink>
      <w:r>
        <w:rPr>
          <w:b w:val="0"/>
          <w:i w:val="0"/>
        </w:rPr>
        <w:t xml:space="preserve"> (Elliot, T., </w:t>
      </w:r>
      <w:r>
        <w:rPr>
          <w:b w:val="0"/>
          <w:i w:val="0"/>
        </w:rPr>
        <w:t>February 11</w:t>
      </w:r>
      <w:r>
        <w:rPr>
          <w:b w:val="0"/>
          <w:i w:val="0"/>
        </w:rPr>
        <w:t>th</w:t>
      </w:r>
      <w:r>
        <w:rPr>
          <w:b w:val="0"/>
          <w:i w:val="0"/>
        </w:rPr>
        <w:t xml:space="preserve"> 2026, 3AW)</w:t>
      </w:r>
    </w:p>
    <w:p>
      <w:r>
        <w:rPr>
          <w:b/>
        </w:rPr>
        <w:t xml:space="preserve">4. </w:t>
      </w:r>
      <w:r>
        <w:rPr>
          <w:b w:val="0"/>
          <w:i w:val="0"/>
        </w:rPr>
        <w:t xml:space="preserve"> Engels, Benno; Nissim, R; Landvogt, K (2009). </w:t>
      </w:r>
      <w:r>
        <w:rPr>
          <w:b w:val="0"/>
          <w:i w:val="0"/>
        </w:rPr>
        <w:t xml:space="preserve">Under pressure: costs of living, financial hardship and emergency relief in Victoria. RMIT University. Report. </w:t>
      </w:r>
      <w:hyperlink r:id="rId14">
        <w:r>
          <w:rPr>
            <w:color w:val="147065"/>
            <w:u w:val="single"/>
          </w:rPr>
          <w:t xml:space="preserve">https://doi.org/10.25439/rmt.27355050.v1</w:t>
        </w:r>
      </w:hyperlink>
    </w:p>
    <w:p>
      <w:r>
        <w:rPr>
          <w:b/>
        </w:rPr>
        <w:t xml:space="preserve">5. </w:t>
      </w:r>
      <w:r>
        <w:rPr>
          <w:b w:val="0"/>
          <w:i w:val="0"/>
        </w:rPr>
        <w:t xml:space="preserve"> </w:t>
      </w:r>
      <w:r>
        <w:rPr>
          <w:b w:val="0"/>
          <w:i w:val="0"/>
        </w:rPr>
        <w:t xml:space="preserve">Weller, S., &amp; van Hulten, A. (2012). Gentrification and Displacement: The Effects of a Housing Crisis on Melbourne’s Low-Income Residents. </w:t>
      </w:r>
      <w:r>
        <w:rPr>
          <w:b w:val="0"/>
          <w:i/>
        </w:rPr>
        <w:t>Urban Policy and Research</w:t>
      </w:r>
      <w:r>
        <w:rPr>
          <w:b w:val="0"/>
          <w:i w:val="0"/>
        </w:rPr>
        <w:t xml:space="preserve">, </w:t>
      </w:r>
      <w:r>
        <w:rPr>
          <w:b w:val="0"/>
          <w:i/>
        </w:rPr>
        <w:t>30</w:t>
      </w:r>
      <w:r>
        <w:rPr>
          <w:b w:val="0"/>
          <w:i w:val="0"/>
        </w:rPr>
        <w:t xml:space="preserve">(1), 25–42. </w:t>
      </w:r>
      <w:hyperlink r:id="rId15">
        <w:r>
          <w:rPr>
            <w:color w:val="147065"/>
            <w:u w:val="single"/>
          </w:rPr>
          <w:t xml:space="preserve">https://doi.org/10.1080/08111146.2011.635410</w:t>
        </w:r>
      </w:hyperlink>
    </w:p>
    <w:p>
      <w:r>
        <w:rPr>
          <w:b/>
        </w:rPr>
        <w:t xml:space="preserve">6. </w:t>
      </w:r>
      <w:r>
        <w:rPr>
          <w:b w:val="0"/>
          <w:i w:val="0"/>
        </w:rPr>
        <w:t xml:space="preserve"> Smith, J., Waite, C., Lohm, D., Saberi, M., &amp; Arunachalam, D. (2021). Understanding the Lived Experiences of Housing and Transport Stress in the “Affordable” Outer Ring: A Case Study of Melbourne, Australia. Urban Policy and Research, 39(2), 191–207. </w:t>
      </w:r>
      <w:hyperlink r:id="rId16">
        <w:r>
          <w:rPr>
            <w:color w:val="147065"/>
            <w:u w:val="single"/>
          </w:rPr>
          <w:t xml:space="preserve">https://doi.org/10.1080/08111146.2021.1898939</w:t>
        </w:r>
      </w:hyperlink>
      <w:r>
        <w:rPr>
          <w:b w:val="0"/>
          <w:i w:val="0"/>
        </w:rPr>
        <w:t>.</w:t>
      </w:r>
    </w:p>
    <w:p>
      <w:r>
        <w:rPr>
          <w:b/>
        </w:rPr>
        <w:t xml:space="preserve">7. </w:t>
      </w:r>
      <w:r>
        <w:rPr>
          <w:b w:val="0"/>
          <w:i w:val="0"/>
        </w:rPr>
        <w:t xml:space="preserve"> </w:t>
      </w:r>
      <w:hyperlink r:id="rId17">
        <w:r>
          <w:rPr>
            <w:color w:val="147065"/>
            <w:u w:val="single"/>
          </w:rPr>
          <w:t xml:space="preserve">Victorian Premier Jacinta Allan reveals the cabinet that she will take to the November election</w:t>
        </w:r>
      </w:hyperlink>
      <w:r>
        <w:rPr>
          <w:b w:val="0"/>
          <w:i w:val="0"/>
        </w:rPr>
        <w:t xml:space="preserve"> (ABC News, April 15</w:t>
      </w:r>
      <w:r>
        <w:rPr>
          <w:b w:val="0"/>
          <w:i w:val="0"/>
        </w:rPr>
        <w:t>th</w:t>
      </w:r>
      <w:r>
        <w:rPr>
          <w:b w:val="0"/>
          <w:i w:val="0"/>
        </w:rPr>
        <w:t xml:space="preserve"> 2026)</w:t>
      </w:r>
      <w:r>
        <w:rPr>
          <w:b w:val="0"/>
          <w:i w:val="0"/>
        </w:rPr>
        <w:t>.</w:t>
      </w:r>
    </w:p>
    <w:p>
      <w:r>
        <w:rPr>
          <w:b/>
        </w:rPr>
        <w:t xml:space="preserve">8. </w:t>
      </w:r>
      <w:r>
        <w:rPr>
          <w:b w:val="0"/>
          <w:i w:val="0"/>
        </w:rPr>
        <w:t xml:space="preserve"> </w:t>
      </w:r>
      <w:hyperlink r:id="rId18">
        <w:r>
          <w:rPr>
            <w:color w:val="147065"/>
            <w:u w:val="single"/>
          </w:rPr>
          <w:t xml:space="preserve">Jacinta Allan’s budget gamble is a risk Victorians can’t afford</w:t>
        </w:r>
      </w:hyperlink>
      <w:r>
        <w:rPr>
          <w:b w:val="0"/>
          <w:i w:val="0"/>
        </w:rPr>
        <w:t xml:space="preserve"> (December 5</w:t>
      </w:r>
      <w:r>
        <w:rPr>
          <w:b w:val="0"/>
          <w:i w:val="0"/>
        </w:rPr>
        <w:t>th</w:t>
      </w:r>
      <w:r>
        <w:rPr>
          <w:b w:val="0"/>
          <w:i w:val="0"/>
        </w:rPr>
        <w:t xml:space="preserve"> 2025, The Australian Financial Review)</w:t>
      </w:r>
      <w:r>
        <w:rPr>
          <w:b w:val="0"/>
          <w:i w:val="0"/>
        </w:rPr>
        <w:t>.</w:t>
      </w:r>
    </w:p>
    <w:p>
      <w:r>
        <w:rPr>
          <w:b/>
        </w:rPr>
        <w:t xml:space="preserve">9. </w:t>
      </w:r>
      <w:r>
        <w:rPr>
          <w:b w:val="0"/>
          <w:i w:val="0"/>
        </w:rPr>
        <w:t xml:space="preserve"> </w:t>
      </w:r>
      <w:r>
        <w:rPr>
          <w:b w:val="0"/>
          <w:i w:val="0"/>
        </w:rPr>
        <w:t xml:space="preserve">Australian Bureau of Statistics, </w:t>
      </w:r>
      <w:hyperlink r:id="rId19">
        <w:r>
          <w:rPr>
            <w:color w:val="147065"/>
            <w:u w:val="single"/>
          </w:rPr>
          <w:t xml:space="preserve">Selected Living Cost Indexes, Australia</w:t>
        </w:r>
      </w:hyperlink>
      <w:r>
        <w:rPr>
          <w:b w:val="0"/>
          <w:i w:val="0"/>
        </w:rPr>
        <w:t xml:space="preserve"> (ABS, March 2026).</w:t>
      </w:r>
    </w:p>
    <w:p>
      <w:r>
        <w:rPr>
          <w:b/>
        </w:rPr>
        <w:t xml:space="preserve">10. </w:t>
      </w:r>
      <w:r>
        <w:rPr>
          <w:b w:val="0"/>
          <w:i w:val="0"/>
        </w:rPr>
        <w:t xml:space="preserve"> </w:t>
      </w:r>
      <w:r>
        <w:rPr>
          <w:b w:val="0"/>
          <w:i w:val="0"/>
        </w:rPr>
        <w:t>Select Committee of the Cost of Living,</w:t>
      </w:r>
      <w:r>
        <w:rPr>
          <w:b w:val="0"/>
          <w:i w:val="0"/>
        </w:rPr>
        <w:t xml:space="preserve"> </w:t>
      </w:r>
      <w:hyperlink r:id="rId20">
        <w:r>
          <w:rPr>
            <w:color w:val="147065"/>
            <w:u w:val="single"/>
          </w:rPr>
          <w:t xml:space="preserve">Paying the Price: The of a Crisis on Australian’s Standards of Living</w:t>
        </w:r>
      </w:hyperlink>
      <w:r>
        <w:rPr>
          <w:b w:val="0"/>
          <w:i w:val="0"/>
        </w:rPr>
        <w:t xml:space="preserve">, </w:t>
      </w:r>
      <w:r>
        <w:rPr>
          <w:b w:val="0"/>
          <w:i w:val="0"/>
        </w:rPr>
        <w:t>(Parliament of Australia, November 2024)</w:t>
      </w:r>
      <w:r>
        <w:rPr>
          <w:b w:val="0"/>
          <w:i w:val="0"/>
        </w:rPr>
        <w:t>.</w:t>
      </w:r>
    </w:p>
    <w:p>
      <w:r>
        <w:rPr>
          <w:b/>
        </w:rPr>
        <w:t xml:space="preserve">11. </w:t>
      </w:r>
      <w:r>
        <w:rPr>
          <w:b w:val="0"/>
          <w:i w:val="0"/>
        </w:rPr>
        <w:t xml:space="preserve"> Johnston, P</w:t>
      </w:r>
      <w:r>
        <w:rPr>
          <w:b w:val="0"/>
          <w:i w:val="0"/>
        </w:rPr>
        <w:t xml:space="preserve">., </w:t>
      </w:r>
      <w:hyperlink r:id="rId21">
        <w:r>
          <w:rPr>
            <w:color w:val="147065"/>
            <w:u w:val="single"/>
          </w:rPr>
          <w:t xml:space="preserve">Stretched thin: the emotional toll of financial stress</w:t>
        </w:r>
      </w:hyperlink>
      <w:r>
        <w:rPr>
          <w:b w:val="0"/>
          <w:i w:val="0"/>
        </w:rPr>
        <w:t xml:space="preserve">, </w:t>
      </w:r>
      <w:r>
        <w:rPr>
          <w:b w:val="0"/>
          <w:i w:val="0"/>
        </w:rPr>
        <w:t>(</w:t>
      </w:r>
      <w:r>
        <w:rPr>
          <w:b w:val="0"/>
          <w:i w:val="0"/>
        </w:rPr>
        <w:t>Scanlon Foundation Research Institute</w:t>
      </w:r>
      <w:r>
        <w:rPr>
          <w:b w:val="0"/>
          <w:i w:val="0"/>
        </w:rPr>
        <w:t>, October 2025)</w:t>
      </w:r>
      <w:r>
        <w:rPr>
          <w:b w:val="0"/>
          <w:i w:val="0"/>
        </w:rPr>
        <w:t>.</w:t>
      </w:r>
    </w:p>
    <w:p>
      <w:r>
        <w:rPr>
          <w:b/>
        </w:rPr>
        <w:t xml:space="preserve">12. </w:t>
      </w:r>
      <w:r>
        <w:rPr>
          <w:b w:val="0"/>
          <w:i w:val="0"/>
        </w:rPr>
        <w:t xml:space="preserve"> </w:t>
      </w:r>
      <w:r>
        <w:rPr>
          <w:b w:val="0"/>
          <w:i w:val="0"/>
        </w:rPr>
        <w:t xml:space="preserve">Energy Consumers Australia, </w:t>
      </w:r>
      <w:hyperlink r:id="rId22">
        <w:r>
          <w:rPr>
            <w:color w:val="147065"/>
            <w:u w:val="single"/>
          </w:rPr>
          <w:t xml:space="preserve">Rank the Energy Retailer 2025</w:t>
        </w:r>
      </w:hyperlink>
      <w:r>
        <w:rPr>
          <w:b w:val="0"/>
          <w:i w:val="0"/>
        </w:rPr>
        <w:t xml:space="preserve">, </w:t>
      </w:r>
      <w:r>
        <w:rPr>
          <w:b w:val="0"/>
          <w:i w:val="0"/>
        </w:rPr>
        <w:t>(</w:t>
      </w:r>
      <w:r>
        <w:rPr>
          <w:b w:val="0"/>
          <w:i w:val="0"/>
        </w:rPr>
        <w:t>Consumer Policy Research Centre</w:t>
      </w:r>
      <w:r>
        <w:rPr>
          <w:b w:val="0"/>
          <w:i w:val="0"/>
        </w:rPr>
        <w:t>, June 2025)</w:t>
      </w:r>
      <w:r>
        <w:rPr>
          <w:b w:val="0"/>
          <w:i w:val="0"/>
        </w:rPr>
        <w:t>.</w:t>
      </w:r>
    </w:p>
    <w:p>
      <w:r>
        <w:rPr>
          <w:b/>
        </w:rPr>
        <w:t xml:space="preserve">13. </w:t>
      </w:r>
      <w:r>
        <w:rPr>
          <w:b w:val="0"/>
          <w:i w:val="0"/>
        </w:rPr>
        <w:t xml:space="preserve"> </w:t>
      </w:r>
      <w:hyperlink r:id="rId23">
        <w:r>
          <w:rPr>
            <w:color w:val="147065"/>
            <w:u w:val="single"/>
          </w:rPr>
          <w:t xml:space="preserve">Essential Homes: Why renting is an essential service</w:t>
        </w:r>
      </w:hyperlink>
      <w:r>
        <w:rPr>
          <w:b w:val="0"/>
          <w:i w:val="0"/>
        </w:rPr>
        <w:t>, (Anika Legal, Better Renting and Consumer Policy Research Centre, April 2026)</w:t>
      </w:r>
      <w:r>
        <w:rPr>
          <w:b w:val="0"/>
          <w:i w:val="0"/>
        </w:rPr>
        <w:t>.</w:t>
      </w:r>
    </w:p>
    <w:p>
      <w:r>
        <w:rPr>
          <w:b/>
        </w:rPr>
        <w:t xml:space="preserve">14. </w:t>
      </w:r>
      <w:r>
        <w:rPr>
          <w:b w:val="0"/>
          <w:i w:val="0"/>
        </w:rPr>
        <w:t xml:space="preserve"> Wilson, E., Church</w:t>
      </w:r>
      <w:r>
        <w:rPr>
          <w:b w:val="0"/>
          <w:i w:val="0"/>
        </w:rPr>
        <w:t>us, C., and Johnson T.</w:t>
      </w:r>
      <w:r>
        <w:rPr>
          <w:b w:val="0"/>
          <w:i w:val="0"/>
        </w:rPr>
        <w:t xml:space="preserve">, 2022, </w:t>
      </w:r>
      <w:r>
        <w:rPr>
          <w:b w:val="0"/>
          <w:i w:val="0"/>
        </w:rPr>
        <w:t xml:space="preserve"> </w:t>
      </w:r>
      <w:hyperlink r:id="rId24">
        <w:r>
          <w:rPr>
            <w:color w:val="147065"/>
            <w:u w:val="single"/>
          </w:rPr>
          <w:t xml:space="preserve">‘Can’t afford to live’ The impact of the rising cost of living on Victorians and Tasmanians on low incomes</w:t>
        </w:r>
      </w:hyperlink>
      <w:r>
        <w:rPr>
          <w:b w:val="0"/>
          <w:i w:val="0"/>
        </w:rPr>
        <w:t>., Melbourne, Uniting (Victoria and Tasmania).</w:t>
      </w:r>
    </w:p>
    <w:p>
      <w:r>
        <w:rPr>
          <w:b/>
        </w:rPr>
        <w:t xml:space="preserve">15. </w:t>
      </w:r>
      <w:r>
        <w:rPr>
          <w:b w:val="0"/>
          <w:i w:val="0"/>
        </w:rPr>
        <w:t xml:space="preserve"> </w:t>
      </w:r>
      <w:r>
        <w:rPr>
          <w:b w:val="0"/>
          <w:i w:val="0"/>
        </w:rPr>
        <w:t>Bowman, D, Porter, E &amp; Kabare, M</w:t>
      </w:r>
      <w:r>
        <w:rPr>
          <w:b w:val="0"/>
          <w:i w:val="0"/>
        </w:rPr>
        <w:t>.,</w:t>
      </w:r>
      <w:r>
        <w:rPr>
          <w:b w:val="0"/>
          <w:i w:val="0"/>
        </w:rPr>
        <w:t xml:space="preserve"> 2024, </w:t>
      </w:r>
      <w:r>
        <w:rPr>
          <w:b w:val="0"/>
          <w:i w:val="0"/>
        </w:rPr>
        <w:t xml:space="preserve">Making ends meet: fostering security and </w:t>
      </w:r>
      <w:r>
        <w:rPr>
          <w:b w:val="0"/>
          <w:i w:val="0"/>
        </w:rPr>
        <w:t>dignity in tough times</w:t>
      </w:r>
      <w:r>
        <w:rPr>
          <w:b w:val="0"/>
          <w:i w:val="0"/>
        </w:rPr>
        <w:t>, Brotherhood of St. Laurence, Fitzroy, Vic.</w:t>
      </w:r>
    </w:p>
    <w:p>
      <w:r>
        <w:rPr>
          <w:b/>
        </w:rPr>
        <w:t xml:space="preserve">16. </w:t>
      </w:r>
      <w:r>
        <w:rPr>
          <w:b w:val="0"/>
          <w:i w:val="0"/>
        </w:rPr>
        <w:t xml:space="preserve"> </w:t>
      </w:r>
      <w:hyperlink r:id="rId25">
        <w:r>
          <w:rPr>
            <w:color w:val="147065"/>
            <w:u w:val="single"/>
          </w:rPr>
          <w:t xml:space="preserve">Rental Affordability Index, 2025</w:t>
        </w:r>
      </w:hyperlink>
      <w:r>
        <w:rPr>
          <w:b w:val="0"/>
          <w:i w:val="0"/>
        </w:rPr>
        <w:t xml:space="preserve">., </w:t>
      </w:r>
      <w:r>
        <w:rPr>
          <w:b w:val="0"/>
          <w:i w:val="0"/>
        </w:rPr>
        <w:t>SGS Economics and Planning</w:t>
      </w:r>
      <w:r>
        <w:rPr>
          <w:b w:val="0"/>
          <w:i w:val="0"/>
        </w:rPr>
        <w:t>.</w:t>
      </w:r>
    </w:p>
    <w:p>
      <w:r>
        <w:rPr>
          <w:b/>
        </w:rPr>
        <w:t xml:space="preserve">17. </w:t>
      </w:r>
      <w:r>
        <w:rPr>
          <w:b w:val="0"/>
          <w:i w:val="0"/>
        </w:rPr>
        <w:t xml:space="preserve"> </w:t>
      </w:r>
      <w:r>
        <w:rPr>
          <w:b w:val="0"/>
          <w:i w:val="0"/>
        </w:rPr>
        <w:t xml:space="preserve">Coates, B., 2026, </w:t>
      </w:r>
      <w:hyperlink r:id="rId26">
        <w:r>
          <w:rPr>
            <w:color w:val="147065"/>
            <w:u w:val="single"/>
          </w:rPr>
          <w:t xml:space="preserve">The Housing Crisis that Australia Built</w:t>
        </w:r>
      </w:hyperlink>
      <w:r>
        <w:rPr>
          <w:b w:val="0"/>
          <w:i w:val="0"/>
        </w:rPr>
        <w:t>,</w:t>
      </w:r>
      <w:r>
        <w:rPr>
          <w:b w:val="0"/>
          <w:i w:val="0"/>
        </w:rPr>
        <w:t xml:space="preserve"> The Grattan Institute</w:t>
      </w:r>
      <w:r>
        <w:rPr>
          <w:b w:val="0"/>
          <w:i w:val="0"/>
        </w:rPr>
        <w:t xml:space="preserve"> </w:t>
      </w:r>
    </w:p>
    <w:p>
      <w:r>
        <w:rPr>
          <w:b/>
        </w:rPr>
        <w:t xml:space="preserve">18. </w:t>
      </w:r>
      <w:r>
        <w:rPr>
          <w:b w:val="0"/>
          <w:i w:val="0"/>
        </w:rPr>
        <w:t xml:space="preserve"> </w:t>
      </w:r>
      <w:r>
        <w:rPr>
          <w:b w:val="0"/>
          <w:i w:val="0"/>
        </w:rPr>
        <w:t xml:space="preserve">Nygaard, C., Parkinson, S. and Reynolds, M. (2021) Agglomeration effects and housing market dynamics, AHURI Final Report No. 366, Australian Housing and Urban Research Institute Limited, Melbourne, </w:t>
      </w:r>
      <w:hyperlink r:id="rId27">
        <w:r>
          <w:rPr>
            <w:color w:val="147065"/>
            <w:u w:val="single"/>
          </w:rPr>
          <w:t xml:space="preserve">https://www.ahuri.edu.au/research/final-reports/366</w:t>
        </w:r>
      </w:hyperlink>
      <w:r>
        <w:rPr>
          <w:b w:val="0"/>
          <w:i w:val="0"/>
        </w:rPr>
        <w:t>, doi: 10.18408/ahuri5122401.</w:t>
      </w:r>
    </w:p>
    <w:p>
      <w:r>
        <w:rPr>
          <w:b/>
        </w:rPr>
        <w:t xml:space="preserve">19. </w:t>
      </w:r>
      <w:r>
        <w:rPr>
          <w:b w:val="0"/>
          <w:i w:val="0"/>
        </w:rPr>
        <w:t xml:space="preserve"> Sarkar, S., Moylan, E., Wu, H., Shrivastava, R., Gurran, N., and Levinson, D. (2021) New housing supply, population growth and access to social infrastructure, AHURI Final Report No. 356, Australian Housing and Urban Research Institute Limited, Melbourne, https://www.ahuri.edu.au/research/final-reports/356, doi:10.18408/ahuri73233.</w:t>
      </w:r>
    </w:p>
    <w:p>
      <w:r>
        <w:rPr>
          <w:b/>
        </w:rPr>
        <w:t xml:space="preserve">20. </w:t>
      </w:r>
      <w:r>
        <w:rPr>
          <w:b w:val="0"/>
          <w:i w:val="0"/>
        </w:rPr>
        <w:t xml:space="preserve"> Australian Government – National </w:t>
      </w:r>
      <w:r>
        <w:rPr>
          <w:b w:val="0"/>
          <w:i w:val="0"/>
        </w:rPr>
        <w:t xml:space="preserve">Housing Supply and Affordability Council. (2026), </w:t>
      </w:r>
      <w:hyperlink r:id="rId28">
        <w:r>
          <w:rPr>
            <w:color w:val="147065"/>
            <w:u w:val="single"/>
          </w:rPr>
          <w:t xml:space="preserve">State of the Housing System 2026</w:t>
        </w:r>
      </w:hyperlink>
      <w:r>
        <w:rPr>
          <w:b w:val="0"/>
          <w:i w:val="0"/>
        </w:rPr>
        <w:t>.</w:t>
      </w:r>
    </w:p>
    <w:p>
      <w:r>
        <w:rPr>
          <w:b/>
        </w:rPr>
        <w:t xml:space="preserve">21. </w:t>
      </w:r>
      <w:r>
        <w:rPr>
          <w:b w:val="0"/>
          <w:i w:val="0"/>
        </w:rPr>
        <w:t xml:space="preserve"> </w:t>
      </w:r>
      <w:hyperlink r:id="rId29">
        <w:r>
          <w:rPr>
            <w:color w:val="147065"/>
            <w:u w:val="single"/>
          </w:rPr>
          <w:t xml:space="preserve">Investor exodus strips hundreds of rental homes from Victoria</w:t>
        </w:r>
      </w:hyperlink>
      <w:r>
        <w:rPr>
          <w:b w:val="0"/>
          <w:i w:val="0"/>
        </w:rPr>
        <w:t>, realestate.com.au, 13</w:t>
      </w:r>
      <w:r>
        <w:rPr>
          <w:b w:val="0"/>
          <w:i w:val="0"/>
        </w:rPr>
        <w:t>th</w:t>
      </w:r>
      <w:r>
        <w:rPr>
          <w:b w:val="0"/>
          <w:i w:val="0"/>
        </w:rPr>
        <w:t xml:space="preserve"> June 2026.</w:t>
      </w:r>
    </w:p>
    <w:p>
      <w:r>
        <w:rPr>
          <w:b/>
        </w:rPr>
        <w:t xml:space="preserve">22. </w:t>
      </w:r>
      <w:r>
        <w:rPr>
          <w:b w:val="0"/>
          <w:i w:val="0"/>
        </w:rPr>
        <w:t xml:space="preserve"> St Vincent de Paul Society – National Council of Australia Inc</w:t>
      </w:r>
      <w:r>
        <w:rPr>
          <w:b w:val="0"/>
          <w:i w:val="0"/>
        </w:rPr>
        <w:t xml:space="preserve">., (2025), </w:t>
      </w:r>
      <w:hyperlink r:id="rId30">
        <w:r>
          <w:rPr>
            <w:color w:val="147065"/>
            <w:u w:val="single"/>
          </w:rPr>
          <w:t xml:space="preserve">Victoria Energy Prices – July 2025: An update report on the Victorian Tariff-Tracking Project</w:t>
        </w:r>
      </w:hyperlink>
      <w:r>
        <w:rPr>
          <w:b w:val="0"/>
          <w:i w:val="0"/>
        </w:rPr>
        <w:t>.</w:t>
      </w:r>
    </w:p>
    <w:p>
      <w:r>
        <w:rPr>
          <w:b/>
        </w:rPr>
        <w:t xml:space="preserve">23. </w:t>
      </w:r>
      <w:r>
        <w:rPr>
          <w:b w:val="0"/>
          <w:i w:val="0"/>
        </w:rPr>
        <w:t xml:space="preserve"> Victoria Essential Services Commission, </w:t>
      </w:r>
      <w:r>
        <w:rPr>
          <w:b w:val="0"/>
          <w:i w:val="0"/>
        </w:rPr>
        <w:t xml:space="preserve">(2026), </w:t>
      </w:r>
      <w:hyperlink r:id="rId31">
        <w:r>
          <w:rPr>
            <w:color w:val="147065"/>
            <w:u w:val="single"/>
          </w:rPr>
          <w:t xml:space="preserve">Victorian Default Offer price review 2026-27</w:t>
        </w:r>
      </w:hyperlink>
      <w:r>
        <w:rPr>
          <w:b w:val="0"/>
          <w:i w:val="0"/>
        </w:rPr>
        <w:t xml:space="preserve">. </w:t>
      </w:r>
    </w:p>
    <w:p>
      <w:r>
        <w:rPr>
          <w:b/>
        </w:rPr>
        <w:t xml:space="preserve">24. </w:t>
      </w:r>
      <w:r>
        <w:rPr>
          <w:b w:val="0"/>
          <w:i w:val="0"/>
        </w:rPr>
        <w:t xml:space="preserve"> Consumer Action Law Centre, (2026), </w:t>
      </w:r>
      <w:hyperlink r:id="rId32">
        <w:r>
          <w:rPr>
            <w:color w:val="147065"/>
            <w:u w:val="single"/>
          </w:rPr>
          <w:t xml:space="preserve">Energy price drop heralded by lower Victorian Default Offer is good news says Consumer Action.</w:t>
        </w:r>
      </w:hyperlink>
    </w:p>
    <w:p>
      <w:r>
        <w:rPr>
          <w:b/>
        </w:rPr>
        <w:t xml:space="preserve">25. </w:t>
      </w:r>
      <w:r>
        <w:rPr>
          <w:b w:val="0"/>
          <w:i w:val="0"/>
        </w:rPr>
        <w:t xml:space="preserve"> </w:t>
      </w:r>
      <w:r>
        <w:rPr>
          <w:b w:val="0"/>
          <w:i w:val="0"/>
        </w:rPr>
        <w:t>The Institute of Actuaries of Australia, 202</w:t>
      </w:r>
      <w:r>
        <w:rPr>
          <w:b w:val="0"/>
          <w:i w:val="0"/>
        </w:rPr>
        <w:t>4</w:t>
      </w:r>
      <w:r>
        <w:rPr>
          <w:b w:val="0"/>
          <w:i w:val="0"/>
        </w:rPr>
        <w:t xml:space="preserve">, </w:t>
      </w:r>
      <w:hyperlink r:id="rId33">
        <w:r>
          <w:rPr>
            <w:color w:val="147065"/>
            <w:u w:val="single"/>
          </w:rPr>
          <w:t xml:space="preserve">Home Insurance Affordability and Home Loans at Risk</w:t>
        </w:r>
      </w:hyperlink>
      <w:r>
        <w:rPr>
          <w:b w:val="0"/>
          <w:i w:val="0"/>
        </w:rPr>
        <w:t>.</w:t>
      </w:r>
    </w:p>
    <w:p>
      <w:r>
        <w:rPr>
          <w:b/>
        </w:rPr>
        <w:t xml:space="preserve">26. </w:t>
      </w:r>
      <w:r>
        <w:rPr>
          <w:b w:val="0"/>
          <w:i w:val="0"/>
        </w:rPr>
        <w:t xml:space="preserve"> Insurance Council of Australia, 2025, </w:t>
      </w:r>
      <w:hyperlink r:id="rId34">
        <w:r>
          <w:rPr>
            <w:color w:val="147065"/>
            <w:u w:val="single"/>
          </w:rPr>
          <w:t xml:space="preserve">Fact Sheet: Australia’s Insurance Industry Snapshot 2025</w:t>
        </w:r>
      </w:hyperlink>
      <w:r>
        <w:rPr>
          <w:b w:val="0"/>
          <w:i w:val="0"/>
        </w:rPr>
        <w:t>.</w:t>
      </w:r>
    </w:p>
    <w:p>
      <w:r>
        <w:rPr>
          <w:b/>
        </w:rPr>
        <w:t xml:space="preserve">27. </w:t>
      </w:r>
      <w:r>
        <w:rPr>
          <w:b w:val="0"/>
          <w:i w:val="0"/>
        </w:rPr>
        <w:t xml:space="preserve"> </w:t>
      </w:r>
      <w:r>
        <w:rPr>
          <w:b w:val="0"/>
          <w:i w:val="0"/>
        </w:rPr>
        <w:t xml:space="preserve">The Australian Financial Review, 2026, </w:t>
      </w:r>
      <w:hyperlink r:id="rId35">
        <w:r>
          <w:rPr>
            <w:color w:val="147065"/>
            <w:u w:val="single"/>
          </w:rPr>
          <w:t xml:space="preserve">Insurance giants warn soaring costs mean double-digit premium rises</w:t>
        </w:r>
      </w:hyperlink>
      <w:r>
        <w:rPr>
          <w:b w:val="0"/>
          <w:i w:val="0"/>
        </w:rPr>
        <w:t>.</w:t>
      </w:r>
    </w:p>
    <w:p>
      <w:r>
        <w:rPr>
          <w:b/>
        </w:rPr>
        <w:t xml:space="preserve">28. </w:t>
      </w:r>
      <w:r>
        <w:rPr>
          <w:b w:val="0"/>
          <w:i w:val="0"/>
        </w:rPr>
        <w:t xml:space="preserve"> Infrastructure Victoria, 2020, </w:t>
      </w:r>
      <w:hyperlink r:id="rId36">
        <w:r>
          <w:rPr>
            <w:color w:val="147065"/>
            <w:u w:val="single"/>
          </w:rPr>
          <w:t xml:space="preserve">Fair Move – Better Public Transport Fare for Melbourne</w:t>
        </w:r>
      </w:hyperlink>
      <w:r>
        <w:rPr>
          <w:b w:val="0"/>
          <w:i w:val="0"/>
        </w:rPr>
        <w:t xml:space="preserve">. </w:t>
      </w:r>
    </w:p>
    <w:p>
      <w:r>
        <w:rPr>
          <w:b/>
        </w:rPr>
        <w:t xml:space="preserve">29. </w:t>
      </w:r>
      <w:r>
        <w:rPr>
          <w:b w:val="0"/>
          <w:i w:val="0"/>
        </w:rPr>
        <w:t xml:space="preserve"> </w:t>
      </w:r>
      <w:r>
        <w:rPr>
          <w:b w:val="0"/>
          <w:i w:val="0"/>
        </w:rPr>
        <w:t>Haghani, M., Sarteshnizi, I. T., &amp; Nassir, N., 2026,</w:t>
      </w:r>
      <w:r>
        <w:rPr>
          <w:b w:val="0"/>
          <w:i w:val="0"/>
        </w:rPr>
        <w:t xml:space="preserve">. </w:t>
      </w:r>
      <w:hyperlink r:id="rId37">
        <w:r>
          <w:rPr>
            <w:color w:val="147065"/>
            <w:u w:val="single"/>
          </w:rPr>
          <w:t xml:space="preserve">Free Public Transport a Good Idea it Depends on Who Gets on Board</w:t>
        </w:r>
      </w:hyperlink>
      <w:r>
        <w:rPr>
          <w:b w:val="0"/>
          <w:i w:val="0"/>
        </w:rPr>
        <w:t>.</w:t>
      </w:r>
      <w:r>
        <w:rPr>
          <w:b w:val="0"/>
          <w:i w:val="0"/>
        </w:rPr>
        <w:t>. The Conversation.</w:t>
      </w:r>
    </w:p>
    <w:p>
      <w:r>
        <w:rPr>
          <w:b/>
        </w:rPr>
        <w:t xml:space="preserve">30. </w:t>
      </w:r>
      <w:r>
        <w:rPr>
          <w:b w:val="0"/>
          <w:i w:val="0"/>
        </w:rPr>
        <w:t xml:space="preserve"> </w:t>
      </w:r>
      <w:r>
        <w:rPr>
          <w:b w:val="0"/>
          <w:i w:val="0"/>
        </w:rPr>
        <w:t>The Australian Competition and C</w:t>
      </w:r>
      <w:r>
        <w:rPr>
          <w:b w:val="0"/>
          <w:i w:val="0"/>
        </w:rPr>
        <w:t xml:space="preserve">onsumer Commission, 2025, </w:t>
      </w:r>
      <w:hyperlink r:id="rId38">
        <w:r>
          <w:rPr>
            <w:color w:val="147065"/>
            <w:u w:val="single"/>
          </w:rPr>
          <w:t xml:space="preserve">Supermarkets Inquiry – Final Report</w:t>
        </w:r>
      </w:hyperlink>
      <w:r>
        <w:rPr>
          <w:b w:val="0"/>
          <w:i w:val="0"/>
        </w:rPr>
        <w:t>.</w:t>
      </w:r>
    </w:p>
    <w:p>
      <w:r>
        <w:rPr>
          <w:b/>
        </w:rPr>
        <w:t xml:space="preserve">31. </w:t>
      </w:r>
      <w:r>
        <w:rPr>
          <w:b w:val="0"/>
          <w:i w:val="0"/>
        </w:rPr>
        <w:t xml:space="preserve"> AUSVEG, 202</w:t>
      </w:r>
      <w:r>
        <w:rPr>
          <w:b w:val="0"/>
          <w:i w:val="0"/>
        </w:rPr>
        <w:t>6</w:t>
      </w:r>
      <w:r>
        <w:rPr>
          <w:b w:val="0"/>
          <w:i w:val="0"/>
        </w:rPr>
        <w:t xml:space="preserve">, </w:t>
      </w:r>
      <w:hyperlink r:id="rId39">
        <w:r>
          <w:rPr>
            <w:color w:val="147065"/>
            <w:u w:val="single"/>
          </w:rPr>
          <w:t xml:space="preserve">Vegetable Industry Crisis Update – Growers Unable to Absorb Cost Increases</w:t>
        </w:r>
      </w:hyperlink>
      <w:r>
        <w:rPr>
          <w:b w:val="0"/>
          <w:i w:val="0"/>
        </w:rPr>
        <w:t>.</w:t>
      </w:r>
    </w:p>
    <w:p>
      <w:r>
        <w:rPr>
          <w:b/>
        </w:rPr>
        <w:t xml:space="preserve">32. </w:t>
      </w:r>
      <w:r>
        <w:rPr>
          <w:b w:val="0"/>
          <w:i w:val="0"/>
        </w:rPr>
        <w:t xml:space="preserve"> Australian Food &amp; Grocery Council, 202</w:t>
      </w:r>
      <w:r>
        <w:rPr>
          <w:b w:val="0"/>
          <w:i w:val="0"/>
        </w:rPr>
        <w:t xml:space="preserve">6, </w:t>
      </w:r>
      <w:hyperlink r:id="rId40">
        <w:r>
          <w:rPr>
            <w:color w:val="147065"/>
            <w:u w:val="single"/>
          </w:rPr>
          <w:t xml:space="preserve">Australian Food and Grocery Council (AFGC) sounds alarm on sector under strain amid rising supply chain costs</w:t>
        </w:r>
      </w:hyperlink>
      <w:r>
        <w:rPr>
          <w:b w:val="0"/>
          <w:i w:val="0"/>
        </w:rPr>
        <w:t xml:space="preserve">. </w:t>
      </w:r>
    </w:p>
    <w:p>
      <w:r>
        <w:rPr>
          <w:b/>
        </w:rPr>
        <w:t xml:space="preserve">33. </w:t>
      </w:r>
      <w:r>
        <w:rPr>
          <w:b w:val="0"/>
          <w:i w:val="0"/>
        </w:rPr>
        <w:t xml:space="preserve"> O’Keeffe, P., 2024. </w:t>
      </w:r>
      <w:hyperlink r:id="rId41">
        <w:r>
          <w:rPr>
            <w:color w:val="147065"/>
            <w:u w:val="single"/>
          </w:rPr>
          <w:t xml:space="preserve">Economic inequality and the ‘cost of living’crisis. In Power, privilege and place in Australian society</w:t>
        </w:r>
      </w:hyperlink>
      <w:r>
        <w:rPr>
          <w:b w:val="0"/>
          <w:i w:val="0"/>
        </w:rPr>
        <w:t xml:space="preserve"> (pp. 101-126). Singapore: Springer Nature Singapore.</w:t>
      </w:r>
    </w:p>
    <w:p>
      <w:r>
        <w:rPr>
          <w:b/>
        </w:rPr>
        <w:t xml:space="preserve">34. </w:t>
      </w:r>
      <w:r>
        <w:rPr>
          <w:b w:val="0"/>
          <w:i w:val="0"/>
        </w:rPr>
        <w:t xml:space="preserve"> Garnaut, R., 2024. </w:t>
      </w:r>
      <w:hyperlink r:id="rId42">
        <w:r>
          <w:rPr>
            <w:color w:val="147065"/>
            <w:u w:val="single"/>
          </w:rPr>
          <w:t xml:space="preserve">The Economic Public Interest in a World of Oligopoly</w:t>
        </w:r>
      </w:hyperlink>
      <w:r>
        <w:rPr>
          <w:b w:val="0"/>
          <w:i w:val="0"/>
        </w:rPr>
        <w:t>. Economic Papers: A journal of applied economics and policy, 43(1), pp.1-9.</w:t>
      </w:r>
    </w:p>
    <w:p>
      <w:r>
        <w:rPr>
          <w:b/>
        </w:rPr>
        <w:t xml:space="preserve">35. </w:t>
      </w:r>
      <w:r>
        <w:rPr>
          <w:b w:val="0"/>
          <w:i w:val="0"/>
        </w:rPr>
        <w:t xml:space="preserve"> </w:t>
      </w:r>
      <w:r>
        <w:rPr>
          <w:b w:val="0"/>
          <w:i w:val="0"/>
        </w:rPr>
        <w:t xml:space="preserve">Clark, L. and Begg, M., 2025. </w:t>
      </w:r>
      <w:hyperlink r:id="rId43">
        <w:r>
          <w:rPr>
            <w:color w:val="147065"/>
            <w:u w:val="single"/>
          </w:rPr>
          <w:t xml:space="preserve">Six more measures of Australia’s declining living standards</w:t>
        </w:r>
      </w:hyperlink>
      <w:r>
        <w:rPr>
          <w:b w:val="0"/>
          <w:i w:val="0"/>
        </w:rPr>
        <w:t>.</w:t>
      </w:r>
    </w:p>
    <w:p>
      <w:r>
        <w:rPr>
          <w:b/>
        </w:rPr>
        <w:t xml:space="preserve">36. </w:t>
      </w:r>
      <w:r>
        <w:rPr>
          <w:b w:val="0"/>
          <w:i w:val="0"/>
        </w:rPr>
        <w:t xml:space="preserve"> </w:t>
      </w:r>
      <w:r>
        <w:rPr>
          <w:b w:val="0"/>
          <w:i w:val="0"/>
        </w:rPr>
        <w:t xml:space="preserve">Ryan-Collins, J. and Murray, C., 2023. </w:t>
      </w:r>
      <w:hyperlink r:id="rId44">
        <w:r>
          <w:rPr>
            <w:color w:val="147065"/>
            <w:u w:val="single"/>
          </w:rPr>
          <w:t xml:space="preserve">When homes earn more than jobs: the rentierization of the Australian housing market</w:t>
        </w:r>
      </w:hyperlink>
      <w:r>
        <w:rPr>
          <w:b w:val="0"/>
          <w:i w:val="0"/>
        </w:rPr>
        <w:t>. Housing Studies, 38(10), pp.1888-1917.</w:t>
      </w:r>
    </w:p>
    <w:p>
      <w:r>
        <w:rPr>
          <w:b/>
        </w:rPr>
        <w:t xml:space="preserve">37. </w:t>
      </w:r>
      <w:r>
        <w:rPr>
          <w:b w:val="0"/>
          <w:i w:val="0"/>
        </w:rPr>
        <w:t xml:space="preserve"> </w:t>
      </w:r>
      <w:r>
        <w:rPr>
          <w:b w:val="0"/>
          <w:i w:val="0"/>
        </w:rPr>
        <w:t xml:space="preserve">Birrell, B. and McCloskey, D., 2016. </w:t>
      </w:r>
      <w:hyperlink r:id="rId45">
        <w:r>
          <w:rPr>
            <w:color w:val="147065"/>
            <w:u w:val="single"/>
          </w:rPr>
          <w:t xml:space="preserve">Sydney and Melbourne’s housing affordability crisis report two: No end in sight</w:t>
        </w:r>
      </w:hyperlink>
      <w:r>
        <w:rPr>
          <w:b w:val="0"/>
          <w:i w:val="0"/>
        </w:rPr>
        <w:t>. Canberra: The Australian Population Research Institute.</w:t>
      </w:r>
    </w:p>
    <w:p>
      <w:r>
        <w:rPr>
          <w:b/>
        </w:rPr>
        <w:t xml:space="preserve">38. </w:t>
      </w:r>
      <w:r>
        <w:rPr>
          <w:b w:val="0"/>
          <w:i w:val="0"/>
        </w:rPr>
        <w:t xml:space="preserve"> </w:t>
      </w:r>
      <w:r>
        <w:rPr>
          <w:b w:val="0"/>
          <w:i w:val="0"/>
        </w:rPr>
        <w:t xml:space="preserve">Li, T., Dodson, J. and Goldie, X., 2021. </w:t>
      </w:r>
      <w:hyperlink r:id="rId46">
        <w:r>
          <w:rPr>
            <w:color w:val="147065"/>
            <w:u w:val="single"/>
          </w:rPr>
          <w:t xml:space="preserve">Urban structure, commuting burden, and employment status of labour forces in an Australian city</w:t>
        </w:r>
      </w:hyperlink>
      <w:r>
        <w:rPr>
          <w:b w:val="0"/>
          <w:i w:val="0"/>
        </w:rPr>
        <w:t>. Journal of transport geography, 93, p.103072.</w:t>
      </w:r>
    </w:p>
    <w:p>
      <w:r>
        <w:rPr>
          <w:b/>
        </w:rPr>
        <w:t xml:space="preserve">39. </w:t>
      </w:r>
      <w:r>
        <w:rPr>
          <w:b w:val="0"/>
          <w:i w:val="0"/>
        </w:rPr>
        <w:t xml:space="preserve"> Cortis, N. and Blaxland, M., 2023. </w:t>
      </w:r>
      <w:hyperlink r:id="rId47">
        <w:r>
          <w:rPr>
            <w:color w:val="147065"/>
            <w:u w:val="single"/>
          </w:rPr>
          <w:t xml:space="preserve">At the precipice: Australia’s community sector through the cost-of-living crisis, findings from the Australian Community Sector Survey</w:t>
        </w:r>
      </w:hyperlink>
      <w:r>
        <w:rPr>
          <w:b w:val="0"/>
          <w:i w:val="0"/>
        </w:rPr>
        <w:t>.</w:t>
      </w:r>
    </w:p>
    <w:p>
      <w:r>
        <w:rPr>
          <w:b/>
        </w:rPr>
        <w:t xml:space="preserve">40. </w:t>
      </w:r>
      <w:r>
        <w:rPr>
          <w:b w:val="0"/>
          <w:i w:val="0"/>
        </w:rPr>
        <w:t xml:space="preserve"> </w:t>
      </w:r>
      <w:r>
        <w:rPr>
          <w:b w:val="0"/>
          <w:i w:val="0"/>
        </w:rPr>
        <w:t xml:space="preserve">Zhang, A., Prang, K.H., Devlin, N., Scott, A. and Kelaher, M., 2020. </w:t>
      </w:r>
      <w:hyperlink r:id="rId48">
        <w:r>
          <w:rPr>
            <w:color w:val="147065"/>
            <w:u w:val="single"/>
          </w:rPr>
          <w:t xml:space="preserve">The impact of price transparency on consumers and providers: a scoping review</w:t>
        </w:r>
      </w:hyperlink>
      <w:r>
        <w:rPr>
          <w:b w:val="0"/>
          <w:i w:val="0"/>
        </w:rPr>
        <w:t>. Health Policy, 124(8), pp.819-825.</w:t>
      </w:r>
    </w:p>
    <w:sectPr w:rsidR="00FC693F" w:rsidRPr="0006063C" w:rsidSect="00034616">
      <w:pgSz w:w="11906" w:h="16838"/>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Public Sans" w:hAnsi="Public Sans"/>
      <w:b w:val="0"/>
      <w:color w:val="1C2B29"/>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Bricolage Grotesque" w:hAnsi="Bricolage Grotesque"/>
      <w:b/>
      <w:bCs/>
      <w:color w:val="1C2B29"/>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Bricolage Grotesque" w:hAnsi="Bricolage Grotesque"/>
      <w:b/>
      <w:bCs/>
      <w:color w:val="1C2B29"/>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Bricolage Grotesque" w:hAnsi="Bricolage Grotesque"/>
      <w:b/>
      <w:bCs/>
      <w:color w:val="147065"/>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Bricolage Grotesque" w:hAnsi="Bricolage Grotesque"/>
      <w:b/>
      <w:color w:val="1C2B29"/>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vic.democrats.org.au/policies/cost-of-living" TargetMode="External"/><Relationship Id="rId11" Type="http://schemas.openxmlformats.org/officeDocument/2006/relationships/hyperlink" Target="https://theconversation.com/you-dont-have-to-be-an-economist-to-know-australia-is-in-a-cost-of-living-crisis-what-are-the-signs-and-what-needs-to-change-210373" TargetMode="External"/><Relationship Id="rId12" Type="http://schemas.openxmlformats.org/officeDocument/2006/relationships/hyperlink" Target="https://www.theage.com.au/politics/victoria/victorians-suffer-the-biggest-jump-in-financial-distress-as-cost-of-living-soars-20240327-p5ffr5.html" TargetMode="External"/><Relationship Id="rId13" Type="http://schemas.openxmlformats.org/officeDocument/2006/relationships/hyperlink" Target="https://omny.fm/shows/3aw-mornings/tom-elliott-several-examples-of-how-government-decisions-contribute-to-cost-of-living" TargetMode="External"/><Relationship Id="rId14" Type="http://schemas.openxmlformats.org/officeDocument/2006/relationships/hyperlink" Target="https://doi.org/10.25439/rmt.27355050.v1" TargetMode="External"/><Relationship Id="rId15" Type="http://schemas.openxmlformats.org/officeDocument/2006/relationships/hyperlink" Target="https://doi.org/10.1080/08111146.2011.635410" TargetMode="External"/><Relationship Id="rId16" Type="http://schemas.openxmlformats.org/officeDocument/2006/relationships/hyperlink" Target="https://doi.org/10.1080/08111146.2021.1898939" TargetMode="External"/><Relationship Id="rId17" Type="http://schemas.openxmlformats.org/officeDocument/2006/relationships/hyperlink" Target="https://www.abc.net.au/news/2026-04-15/victorian-premier-jacinta-allan-reveals-reshuffled-cabinet/106566270?utm_campaign=abc_news_web&amp;utm_content=link&amp;utm_medium=content_shared&amp;utm_source=abc_news_web" TargetMode="External"/><Relationship Id="rId18" Type="http://schemas.openxmlformats.org/officeDocument/2006/relationships/hyperlink" Target="https://www.afr.com/policy/economy/jacinta-allan-s-budget-gamble-is-a-risk-victorians-can-t-afford-20251205-p5nl5j" TargetMode="External"/><Relationship Id="rId19" Type="http://schemas.openxmlformats.org/officeDocument/2006/relationships/hyperlink" Target="https://www.abs.gov.au/statistics/economy/price-indexes-and-inflation/selected-living-cost-indexes-australia/latest-release" TargetMode="External"/><Relationship Id="rId20" Type="http://schemas.openxmlformats.org/officeDocument/2006/relationships/hyperlink" Target="https://parlinfo.aph.gov.au/parlInfo/download/committees/reportsen/RB000446/toc_pdf/PayingthePriceTheCostofaCrisisonAustralians'StandardsofLiving.pdf" TargetMode="External"/><Relationship Id="rId21" Type="http://schemas.openxmlformats.org/officeDocument/2006/relationships/hyperlink" Target="https://scanloninstitute.org.au/wp-content/uploads/Stretched-thin-the-emotional-toll-of-financial-stress-1.pdf" TargetMode="External"/><Relationship Id="rId22" Type="http://schemas.openxmlformats.org/officeDocument/2006/relationships/hyperlink" Target="https://issuu.com/fcvic/docs/rank_the_energy_retailer_2025_report" TargetMode="External"/><Relationship Id="rId23" Type="http://schemas.openxmlformats.org/officeDocument/2006/relationships/hyperlink" Target="https://anikalegal.org.au/blog/essential-homes/" TargetMode="External"/><Relationship Id="rId24" Type="http://schemas.openxmlformats.org/officeDocument/2006/relationships/hyperlink" Target="http://unitingvictas.org.au/publications" TargetMode="External"/><Relationship Id="rId25" Type="http://schemas.openxmlformats.org/officeDocument/2006/relationships/hyperlink" Target="https://sgsep.com.au/maps/rai/australia-rental-affordability-index-nov25/SGS%20Economics%20and%20Planning_Rental%20Affordability%20Index%202025.pdf" TargetMode="External"/><Relationship Id="rId26" Type="http://schemas.openxmlformats.org/officeDocument/2006/relationships/hyperlink" Target="https://grattan.edu.au/news/the-housing-crisis-that-australia-built/" TargetMode="External"/><Relationship Id="rId27" Type="http://schemas.openxmlformats.org/officeDocument/2006/relationships/hyperlink" Target="https://www.ahuri.edu.au/research/final-reports/366" TargetMode="External"/><Relationship Id="rId28" Type="http://schemas.openxmlformats.org/officeDocument/2006/relationships/hyperlink" Target="https://nhsac.gov.au/sites/nhsac.gov.au/files/2026-04/ar-state-housing-system-2026.pdf" TargetMode="External"/><Relationship Id="rId29" Type="http://schemas.openxmlformats.org/officeDocument/2006/relationships/hyperlink" Target="https://www.realestate.com.au/news/investor-exodus-strips-hundreds-of-rental-homes-from-victoria/" TargetMode="External"/><Relationship Id="rId30" Type="http://schemas.openxmlformats.org/officeDocument/2006/relationships/hyperlink" Target="https://www.vinnies.org.au/media/npykct35/vic-tariff-tracker-july-2025.pdf" TargetMode="External"/><Relationship Id="rId31" Type="http://schemas.openxmlformats.org/officeDocument/2006/relationships/hyperlink" Target="https://www.esc.vic.gov.au/electricity-and-gas/prices-tariffs-and-benchmarks/victorian-default-offer/victorian-default-offer-price-review-2026-27" TargetMode="External"/><Relationship Id="rId32" Type="http://schemas.openxmlformats.org/officeDocument/2006/relationships/hyperlink" Target="https://consumeraction.org.au/energy-price-drop-heralded-by-lower-victorian-default-offer-is-good-news-says-consumer-action/" TargetMode="External"/><Relationship Id="rId33" Type="http://schemas.openxmlformats.org/officeDocument/2006/relationships/hyperlink" Target="https://content.actuaries.asn.au/resources/resource-ce6yyqn64sx3-2093352434-52239" TargetMode="External"/><Relationship Id="rId34" Type="http://schemas.openxmlformats.org/officeDocument/2006/relationships/hyperlink" Target="https://insurancecouncil.com.au/wp-content/uploads/2025/06/INCA015-Fact-Pack-2025_v3.6.pdf" TargetMode="External"/><Relationship Id="rId35" Type="http://schemas.openxmlformats.org/officeDocument/2006/relationships/hyperlink" Target="https://www.afr.com/companies/financial-services/insurance-giants-warn-soaring-costs-mean-double-digit-premium-rises-20260616-p60775" TargetMode="External"/><Relationship Id="rId36" Type="http://schemas.openxmlformats.org/officeDocument/2006/relationships/hyperlink" Target="https://assets.infrastructurevictoria.com.au/assets/Resources/Fair-Move-Better-Public-Transport-Fares-for-Melbourne-Final-2.pdf" TargetMode="External"/><Relationship Id="rId37" Type="http://schemas.openxmlformats.org/officeDocument/2006/relationships/hyperlink" Target="https://theconversation.com/is-free-public-transport-a-good-idea-it-depends-on-who-gets-on-board-279666" TargetMode="External"/><Relationship Id="rId38" Type="http://schemas.openxmlformats.org/officeDocument/2006/relationships/hyperlink" Target="https://www.accc.gov.au/system/files/supermarkets-inquiry_1.pdf" TargetMode="External"/><Relationship Id="rId39" Type="http://schemas.openxmlformats.org/officeDocument/2006/relationships/hyperlink" Target="https://ausveg.com.au/article/vegetable-industry-crisis-update-growers-unable-to-absorb-cost-increases/" TargetMode="External"/><Relationship Id="rId40" Type="http://schemas.openxmlformats.org/officeDocument/2006/relationships/hyperlink" Target="https://afgc.org.au/News/australian-food-and-grocery-council-afgc-sounds-alarm-on-sector-under-strain-amid-rising-supply-chain-costs/" TargetMode="External"/><Relationship Id="rId41" Type="http://schemas.openxmlformats.org/officeDocument/2006/relationships/hyperlink" Target="https://link.springer.com/chapter/10.1007/978-981-97-1144-4_5" TargetMode="External"/><Relationship Id="rId42" Type="http://schemas.openxmlformats.org/officeDocument/2006/relationships/hyperlink" Target="https://onlinelibrary.wiley.com/doi/full/10.1111/1759-3441.12403" TargetMode="External"/><Relationship Id="rId43" Type="http://schemas.openxmlformats.org/officeDocument/2006/relationships/hyperlink" Target="https://ipa.org.au/wp-content/uploads/IPA-Research-Note-May-2025-6-more-measures-of-declining-living-standards.pdf" TargetMode="External"/><Relationship Id="rId44" Type="http://schemas.openxmlformats.org/officeDocument/2006/relationships/hyperlink" Target="https://www.tandfonline.com/doi/abs/10.1080/02673037.2021.2004091" TargetMode="External"/><Relationship Id="rId45" Type="http://schemas.openxmlformats.org/officeDocument/2006/relationships/hyperlink" Target="https://tapri.org.au/wp-content/uploads/2016/02/Sydney-Melbourne-Housing-Report-No-2-No-End-in-Sight-6-Mar-2016-std.pdf" TargetMode="External"/><Relationship Id="rId46" Type="http://schemas.openxmlformats.org/officeDocument/2006/relationships/hyperlink" Target="https://www.sciencedirect.com/science/article/pii/S0966692321001253" TargetMode="External"/><Relationship Id="rId47" Type="http://schemas.openxmlformats.org/officeDocument/2006/relationships/hyperlink" Target="https://unsworks.unsw.edu.au/entities/publication/4b0c7c1a-3216-4d1a-b3d6-20c425bb193c" TargetMode="External"/><Relationship Id="rId48" Type="http://schemas.openxmlformats.org/officeDocument/2006/relationships/hyperlink" Target="https://www.sciencedirect.com/science/article/pii/S01688510203014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Cost of Living (COL) Policy — Australian Democrats (Victoria)</dc:title>
  <dc:subject/>
  <dc:creator>Australian Democrats (Victoria)</dc:creator>
  <cp:keywords/>
  <dc:description>generated by python-docx</dc:description>
  <cp:lastModifiedBy/>
  <cp:revision>1</cp:revision>
  <dcterms:created xsi:type="dcterms:W3CDTF">2013-12-23T23:15:00Z</dcterms:created>
  <dcterms:modified xsi:type="dcterms:W3CDTF">2013-12-23T23:15:00Z</dcterms:modified>
  <cp:category/>
</cp:coreProperties>
</file>